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904 vom 13. Oktober 2025</w:t>
      </w:r>
    </w:p>
    <w:p>
      <w:r>
        <w:t>VD Tribunal cantonal, 2025-10-13, FR</w:t>
      </w:r>
    </w:p>
    <w:p>
      <w:r>
        <w:rPr>
          <w:b/>
        </w:rPr>
        <w:t xml:space="preserve">Quelle: </w:t>
      </w:r>
      <w:r>
        <w:t>https://mcp.opencaselaw.ch/entscheid/vd_findinfo_Arr_t___2025___904</w:t>
      </w:r>
    </w:p>
    <w:p>
      <w:r>
        <w:t>FR: VD_FINDINFO Arrêt / 2025 / 904 du 13 octobre 2025</w:t>
      </w:r>
    </w:p>
    <w:p>
      <w:r>
        <w:t>IT: VD_FINDINFO Arrêt / 2025 / 904 del 13 ottobre 2025</w:t>
      </w:r>
    </w:p>
    <w:p>
      <w:pPr>
        <w:pStyle w:val="Heading2"/>
      </w:pPr>
      <w:r>
        <w:t>Regeste</w:t>
      </w:r>
    </w:p>
    <w:p>
      <w:r>
        <w:t>DÉLAI ABSOLU, DÉCISION RELATIVE À DES PRESTATIONS, PRINCIPE DE LA BONNE FOI, PÉREMPTION | 24 al. 1 LPGA, 27 LPGA</w:t>
      </w:r>
    </w:p>
    <w:p>
      <w:pPr>
        <w:pStyle w:val="Heading2"/>
      </w:pPr>
      <w:r>
        <w:t>Volltext</w:t>
      </w:r>
    </w:p>
    <w:p>
      <w:r>
        <w:t>Vaud Tribunal cantonal Cour des assurances sociales Arrêt / 2025 / 904</w:t>
      </w:r>
    </w:p>
    <w:p>
      <w:r>
        <w:t>DÉLAI ABSOLU, DÉCISION RELATIVE À DES PRESTATIONS, PRINCIPE DE LA BONNE FOI, PÉREMPTION | 24 al. 1 LPGA, 27 LPGA</w:t>
      </w:r>
    </w:p>
    <w:p>
      <w:r>
        <w:t>TRIBUNAL CANTONAL AVS 19/25 - 40/2025 ZC25.021968 COUR DES ASSURANCES SOCIALES _____________________________________________ Arrêt du 13 octobre 2025 __________________ Composition :               Mme Pasche , présidente MM. Neu et Piguet, juges Greffière :              Mme Matthey ***** Cause pendante entre : N.________ , à [...], recourante, représentée par Me Xavier de Haller, avocat à Lausanne, et Caisse cantonale vaudoise de compensation AVS , à Vevey, intimée. _______________ Art. 24 al. 1 et 27 LPGA. E n  f a i t  : A. N.________ (ci-après : l’assurée ou la recourante), née en [...], était mariée à V.________ du [...] au [...]. De leur union sont nés [...], le [...], et [...], le [...]. V.________, qui s’est ensuite marié à [...], est décédé le [...] 2015. Le 3 mars 2025, la Caisse de compensation du canton de Z.________ a transmis à la Caisse cantonale vaudoise de compensation AVS (ci-après : la Caisse ou l’intimée) comme objet de sa compétence une demande de rente de vieillesse formulée le 16 janvier 2025 et une demande de rente de survivant du 1 er mars 2025, toutes deux au nom de l’assurée. Par décision du 21 mars 2025, la Caisse a octroyé à l’assurée une rente de veuve du 1 er mars 2020 au 31 décembre 2024. Le 4 avril 2025, l’assurée a formé opposition à l’encontre de cette décision. Elle a requis de la Caisse qu’elle lui octroie une rente de veuve depuis la date de décès de son ex-époux, expliquant qu’avant mars 2025, elle ignorait avoir droit à cette prestation. Par décision sur opposition du 8 avril 2025, la Caisse a rejeté l’opposition et confirmé la décision querellée, au motif que le droit à des prestations ou à des cotisations arriérées s’éteignait cinq ans avant la fin du mois pour lequel la prestation était due et cinq ans après la fin de l’année civile pour laquelle la cotisation devait être payée, la loi ne prévoyant pas d’exception à ce délai de péremption. B. Par acte du 9 mai 2025, N.________, désormais représentée par Me Xavier de Haller, a interjeté un recours à l’encontre de cette décision sur opposition par-devant la Cour des assurances sociales du Tribunal cantonal, concluant principalement à sa réforme en ce sens qu’une rente de veuve lui est octroyée à compter du [...] 2015 et, subsidiairement, à son annulation et au renvoi de la cause à l’intimée pour nouvelle décision dans le sens des considérants. La recourante a requis, à titre de mesure d’instruction, l’audition de ses enfants, ainsi que la production du dossier de ces derniers auprès de la Caisse suisse de compensation. En substance, elle a expliqué s’être rendue au guichet de la Caisse suisse de compensation, à Genève, en 2018, afin d’entamer des démarches pour les rentes d’orphelins de ses enfants. A cette occasion, elle allègue avoir demandé un renseignement à la personne présente au guichet, qui lui aurait indiqué qu’elle n’avait pas le droit à une rente de veuve, au motif que celle-ci avait déjà été attribuée à l’épouse de son ex-conjoint. La recourante expose s’être fiée de bonne foi à cette information erronée et n’avoir entrepris aucune démarche tendant à l’octroi d’une rente de veuve. A ses yeux, la Caisse suisse de compensation, laquelle détenait toutes les informations nécessaires à l’identification des conditions d’octroi de la rente de veuve, aurait dû la renseigner d’office sur son droit à la rente, comme l’avait fait la Caisse du canton de Z.________ lorsqu’elle avait traité sa demande de rente de vieillesse. Sa bonne foi devait ainsi être protégée et son droit à une rente de veuve également reconnu pour la période du [...] 2015 au 29 février 2020. A l’appui de ses allégations, la recourante a produit un onglet de pièces sous bordereau. Par réponse du 21 mai 2025, l’intimée a préavisé le rejet du recours et le maintien de la décision sur opposition attaquée. Pour l’essentiel, elle a relevé que l’entier de l’argumentation de la recourante reposait sur le fait qu’elle aurait reçu oralement un renseignement erroné au guichet de la Caisse suisse de compensation, à Genève, mais qu’elle ne détenait aucune pièce prouvant ces affirmations. Elle a de surcroît exposé que le délai de péremption de cinq ans restait quoi qu’il en soit applicable, même en cas de défaut de renseignement imputable à l’administration, se référant à deux jurisprudences. Par réplique du 20 juin 2025, la recourante, sous la plume de son conseil, a souligné avoir expressément requis l’audition de ses enfants pour qu’ils puissent attester des informations qui lui avaient été communiquées par la Caisse suisse de compensation en 2018, ainsi que la production du dossier de ses enfants auprès de cette dernière, afin d’établir la date à laquelle elle s’était rendue avec ses enfants à Genève et l’identité de la personne qui les avait reçus. Elle a en outre indiqué que les jurisprudences citées par l’intimée ne s’appliquaient pas à son cas, qui relevait de la protection de la bonne foi, principe qui devait conduire à l’octroi de prestations indues par l’administration. Par duplique du 2 juillet 2025, l’intimée a maintenu sa position.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une rente de veuve avant le 1 er mars 2020. 3. a) Aux termes de l’art. 23 al. 1 LAVS, les veuves et les veufs ont droit à une rente si, au décès de leur conjoint, ils ont un ou plusieurs enfants. Le droit à la rente prend naissance le premier jour du mois qui le décès du conjoint (art. 23 al. 3 LAVS). L’art. 24a al. 1 let. a LAVS prévoit que la personne divorcée est assimilée à une veuve ou à un veuf si elle a un ou plusieurs enfants et que le mariage a duré au moins dix ans. b) Les prestations d'assurance sociale sont en principe servies à la demande de l'ayant droit.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L'annonce à l'assureur social permet en principe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 TF 9C_489/2019 du 10 juin 2020 consid. 2.2 ; 9C_705/2019 du 27 mai 2020 consid. 4.1). Le but de cette jurisprudence est essentiellement d'éviter que le paiement rétroactif de prestations sur une longue période ne vienne alimenter une fortune plus ou moins importante alors que ces prestations étaient destinées à compenser les besoins vitaux ordinaires du requérant (ATF 121 V 195 consid. 5c et 5d ; TF 8C_624/2021 du 1 er juin 2022 consid 4.2.3 ; TF 9C_574/2008 du 27 mars 2009 consid. 2.2). c)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II 627 consid. 6.1 et les références citées ; TF 8C_433/2014 du 16 juillet 2015 consid. 3). 4. a) En l’occurrence, il est constant que la recourante, qui a été mariée pendant plus de dix ans à son ex-conjoint et qui est la mère des deux enfants du couple, remplit les conditions de l’art. 24a LAVS lui permettant d’être assimilée à une veuve et, partant, de percevoir une rente de veuve. Se pose toutefois la question de savoir à compter de quelle date ce droit est ouvert, la caisse intimée l’ayant reconnu dès le 1 er mars 2020, compte tenu du dépôt de la demande de rente de veuve intervenu le 1 er mars 2025 auprès de la Caisse AVS du canton de Z.________, et de la teneur de l’art. 24 al. 1 LPGA. b) La recourante conteste ce point de vue. Elle fait pour l’essentiel valoir que « durant l’année 2018 », comme il avait été requis par la Caisse suisse de compensation que ses enfants attestent de leur existence, elle les avait accompagnés physiquement au guichet de ladite caisse, à Genève. Elle en avait profité pour se renseigner sur son droit à une rente de veuve. La personne au guichet lui aurait alors répondu qu’elle n’avait pas droit à une telle rente, dans la mesure où celle-ci était déjà attribuée à la nouvelle épouse de son défunt ex-mari. Aux yeux de l’intéressée, cette information, dont elle ignorait le caractère infondé, constituait un renseignement erroné au sens de l’art. 27 LPGA, qui devrait conduire à obliger l’autorité à lui servir une rente de veuve depuis le [...] 2015, date du décès de son ex-époux. c) La recourante ne peut toutefois être suivie dans ses explications. La jurisprudence constante du Tribunal fédéral établit clairement que le paiement des prestations arriérées est soumis au délai de péremption absolu de cinq ans à compter de la date du dépôt de la nouvelle demande, même si l’administration a omis fautivement de donner suite à une demande initiale de prestations, qui était bien fondée. La protection liée à l’art. 27 LPGA n’y fait donc pas exception, contrairement à ce que soutient l’assurée. Ainsi, même si cette dernière avait déposé une demande en 2018 et que l’intimée ou une autre caisse aurait dû constater son droit à une rente de veuve à partir de 2015, le délai de péremption de cinq ans de l’art. 24 al. 1 LPGA commencerait de toute manière à courir à compter de sa nouvelle demande du 1 er mars 2025. Dans ces conditions, c’est à juste titre que l’intimée a octroyé une rente de veuve à l’assurée à compter du 1 er mars 2020. 5. Les pièces au dossier permettent à la Cour de céans de statuer, sans qu’il apparaisse nécessaire de mettre en œuvre les mesures d’instruction requises par la recourante dans son écriture du 8 mai 2025, à savoir la production en mains de la Caisse de compensation suisse du dossier de ses enfants et l’audition de ces derniers. En effet,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 6. a) En définitive, le recours, mal fondé, doit être rejeté et la décision sur opposition querellée confirmée. b) Il n’y a pas lieu de percevoir de frais judiciaires (art. 61 let. f bis LPGA), ni d’allouer de dépens à la recourante, qui n’obtient pas gain de cause (art. 61 let. g LPGA). Par ces motifs, la Cour des assurances sociales prononce : I. Le recours est rejeté. II. La décision sur opposition rendue le 8 avril 2025 par la Caisse cantonale vaudoise de compensation AVS est confirmée. III. Il n’est pas perçu de frais judiciaires, ni alloué de dépens. La présidente : La greffière : Du L'arrêt qui précède, dont la rédaction a été approuvée à huis clos, est notifié à : ‑ Me Xavier de Haller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