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891 vom 22. Oktober 2025</w:t>
      </w:r>
    </w:p>
    <w:p>
      <w:r>
        <w:t>VD Tribunal cantonal, 2025-10-22, FR</w:t>
      </w:r>
    </w:p>
    <w:p>
      <w:r>
        <w:rPr>
          <w:b/>
        </w:rPr>
        <w:t xml:space="preserve">Quelle: </w:t>
      </w:r>
      <w:r>
        <w:t>https://mcp.opencaselaw.ch/entscheid/vd_findinfo_Arr_t___2025___891</w:t>
      </w:r>
    </w:p>
    <w:p>
      <w:r>
        <w:t>FR: VD_FINDINFO Arrêt / 2025 / 891 du 22 octobre 2025</w:t>
      </w:r>
    </w:p>
    <w:p>
      <w:r>
        <w:t>IT: VD_FINDINFO Arrêt / 2025 / 891 del 22 ottobre 2025</w:t>
      </w:r>
    </w:p>
    <w:p>
      <w:pPr>
        <w:pStyle w:val="Heading2"/>
      </w:pPr>
      <w:r>
        <w:t>Regeste</w:t>
      </w:r>
    </w:p>
    <w:p>
      <w:r>
        <w:t>SUITE D'UN ACCIDENT | 11 OLAA</w:t>
      </w:r>
    </w:p>
    <w:p>
      <w:pPr>
        <w:pStyle w:val="Heading2"/>
      </w:pPr>
      <w:r>
        <w:t>Erwägungen</w:t>
      </w:r>
    </w:p>
    <w:p>
      <w:r>
        <w:rPr>
          <w:b/>
        </w:rPr>
        <w:t>E. 16</w:t>
      </w:r>
    </w:p>
    <w:p>
      <w:r>
        <w:t>novembre 2023 et 7 mars 2024 et rejeté les oppositions de l’assurée. Reprenant l’évaluation faite par le Dr O.________, elle a estimé que les lésions retrouvées à l’IRM du 4 octobre 2023 et ayant justifié un nouveau traitement médical en 2023 n’étaient que possiblement liées aux événements des 2 et 27 octobre 2019. C. Par acte du 22 mai 2024, H.________ a recouru devant la Cour des assurances sociales du Tribunal cantonal à l’encontre de la décision sur opposition précitée, concluant implicitement à son annulation. En substance, la recourante a fait valoir qu’hormis les accidents de sport survenus les 2 et 27 octobre 2019, elle n’avait pas subi d’autre accident pouvant justifier une déchirure totale des ligaments. Par réponse du 30 mai 2024, l’intimée a conclu au rejet du recours. Répliquant le 3 juillet 2024, la recourante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 au titre de séquelles tardives – prétendre à des prestations de l’assurance-accidents en lien avec la symptomatologie annoncée à l’intimée à la fin de l’année 2023, singulièrement la question du lien de causalité entre cette symptomatologie et les accidents survenus les 2 et 27 octobre 2019.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 La responsabilité de l’assureur-accidents s’étend, en principe, à toutes les conséquences dommageables qui se trouvent dans un rapport de causalité naturelle et adéquate avec l’événement assuré (ATF 148 V 356 consid. 3). Ainsi, l’art. 11 OLAA (ordonnance fédérale du 20 décembre 1982 sur l’assurance-accidents ; RS 832.202) prévoit que les prestations d’assurance sont également allouées en cas de rechutes et de séquelles tardives.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Faute de preuve, la décision sera défavorable à la personne assurée (TF 8C_249/2018 du 12 mars 2019 consid. 4.2 et les références). 4.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5. En l’espèce, l’intimée ne conteste pas que la recourante a été blessée à la cheville gauche lors de deux événements accidentels survenus les 2 et 27 octobre 2019. La V.________ considère toutefois, sur la base de l’appréciation de son médecin-conseil le Dr O.________, que la symptomatologie annoncée dès le mois de septembre 2023 ne peut que possiblement être rattachée aux événements de 2019 et n’ouvre dès lors pas le droit à une prise en charge par l’assurance-accidents au titre de séquelles tardives. a) Il ne peut être question, dans le cas d’espèce, d’attacher une quelconque valeur probante aux différentes prises de position émises par le Dr O.________ en sa qualité de médecin-conseil de l’intimée. Il s’avère en effet que dans un premier temps ce médecin n’a pas examiné la situation de la recourante dans sa globalité, mais s’est déterminé à l’égard de l’événement du 2 octobre 2019 exclusivement, sans aucune mention relative à l’accident survenu le 27 octobre 2019 (cf. avis du 15 novembre 2023). Si dans un second temps le Dr O.________ a complété son analyse en y intégrant l’événement du 27 octobre 2019, il demeure que l’évaluation ainsi fournie par ce médecin revêt un caractère spéculatif. Pour l’essentiel, le Dr O.________ a axé son appréciation sur le fait que les radiographies réalisées le 27 octobre 2019 montraient un discret ossicule corticalisé (visible également à l’IRM du 4 octobre 2023), témoin d’anciennes entorses sévères au niveau du LLE, ainsi qu’une ossification de la partie antérieure du pilon tibial, probable témoin d’une hypersollicitation sportive, éléments auxquels s’ajoutait une déformation de la voûte plantaire sous forme de pied creux favorisant les entorses de cheville (cf. avis du 29 février 2024). Dans ces conditions, le Dr O.________ a conclu que la cheville gauche de l’assurée avait été sursollicitée par une longue pratique du football avec indéniablement de nombreuses petites entorses qui n’avaient jamais été traitées et n’avaient jamais fait l’objet de consultations, aboutissant à une insuffisance chronique du LLE (cf. avis du 5 avril 2024). Or les antécédents d’entorses évoqués par le Dr O.________ ne sont aucunement documentés. Au contraire, la Dre P.________ a attesté que la consultation du 21 octobre 2019 portait sur la première entorse de cheville constatée à l’égard d’une patiente dont le dossier remontait à 2012 (cf. certificat médical du 28 mars 2024). A cela s’ajoute que le Dr O.________ a décrit en des termes contradictoires l’ampleur des antécédents en question, se référant tantôt à « d’anciennes entorses sévères » (cf. avis du 29 février 2024), tantôt à « de nombreuses petites entorses » (cf. avis du 5 avril 2024). Il apparaît, en d’autres termes, que les antécédents allégués demeurent incertains et ne permettent donc pas d’asseoir un quelconque raisonnement sous l’angle du lien de causalité. Compte tenu des carences ci-dessus exposées, l’appréciation du Dr O.________ ne saurait être avalisée par la Cour de céans. b) Ce nonobstant, il n’apparaît pas nécessaire de compléter l’instruction du dossier. En effet, l’analyse des pièces en mains du Tribunal démontre qu’il n’est pas possible de rattacher – au degré de la vraisemblance prépondérante, appliquée généralement à l'appréciation des preuves dans l'assurance sociale (ATF 142 V 435 consid. 1 et les références) – les atteintes présentées à la fin de l’année 2023 aux événements annoncés en 2019. A cet égard, il convient de rappeler qu’à la suite de l’événement survenu le 2 octobre 2019, la Dre P.________, consultée le 21 octobre 2019, a réalisé un examen clinique mettant en évidence une entorse bénigne du LLE gauche (cf. rapport initial du 28 novembre 2019). Après avoir examiné l’assurée le jour même de l’événement accidentel du 27 octobre 2019 et fait effectuer des clichés radiologiques, le Dr S.________ a pour sa part diagnostiqué une entorse externe de la cheville gauche, avec des douleurs « fx ant » au niveau du LLE (cf. rapport de radiographie du 27 octobre 2019 ; cf. rapport médical LAA du 13 novembre 2019). C’est dire, en résumé, que les documents médicaux au dossier font objectivement état d’entorses externes de la cheville gauche subies au cours des événements des 2 et 27 octobre 2019. Force est de constater, en revanche, qu’aucune lésion au niveau du LLI ou du LTFA n’a été évoquée – ni, a fortiori , objectivée – dans les suites immédiates des événements des 2 et 27 octobre 2019. S’agissant plus particulièrement de l’accident de sport survenu le 27 octobre 2019, la Cour de céans observe que le Dr S.________ a expressément conclu, sur la base de son examen clinique, à l’absence de lésion au niveau du LLI ou du « PTI » (à savoir le ligament péronéo-tibial antérieure et inférieur [LPTI], terminologie synonyme du LTFA [cf. site de l’Académie française de médecine : https://www.academie-medecine.fr/le-dictionnaire/index.php?q=Ligament+tibio+fibulaire+ant%C3%A9rieur ]), Or il apparaît que la prise en charge entreprise dès l’automne 2023 auprès du Dr F.________ visait essentiellement à traiter des lésions au niveau du LTFA et du LLI de la cheville gauche (cf. rapports du Dr F.________ des 26 septembre et 1 er novembre 2023), telles qu’objectivées par des examens d’imagerie (cf. rapport d’IRM du 4 octobre 2023) puis dans le contexte de l’arthroscopie pratiquée par le Dr F.________ (cf. protocole opératoire du 27 novembre 2023). Partant, dans la mesure où les constats effectués dans les suites immédiates des événements des 2 et 27 octobre 2019 n’ont mis en lumière que des entorses externes de la cheville gauche, sans révéler aucune anomalie ou altération particulière au niveau de l’un des deux ligaments visés par l’arthroscopie du 27 novembre 2023, il n’est dès lors pas possible de retenir, au degré de la vraisemblance prépondérante, que lesdits événements sont à l’origine des lésions structurelles de la cheville gauche traitées quatre ans plus tard par le Dr F.________. Peu importe, sous cet angle, que les rapports établis par le Dr F.________ fassent état de lésions du LTFA et du LLI « à la suite » d’une entorse sévère de la cheville gauche le 27 octobre 2019 (cf. rapport des 26 septembre et 1 er novembre 2023 ; cf. protocole opératoire du 27 novembre 2023). Cette assertion ne repose en effet sur aucune démonstration médicale permettant d’expliquer en quoi les lésions observées en 2023 pourraient concrètement être rattachées à l’un des deux événements survenus en octobre 2019. Au demeurant, il convient de souligner ici que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Pour le surplus, c’est en vain que la recourante se prévaut de l’absence d’autre événement traumatique pouvant justifier ses lésions ligamentaires. En effet, le caractère objectivable d'une atteinte ne signifie pas qu'il existe assurément un lien de causalité – naturelle et adéquate – avec un événement accidentel antérieur (TF 8C_548/2018 du 7 novembre 2018 consid. 4). c) Il découle de ce qui précède qu’en refusant de prester à raison des lésions de la cheville gauche traitées par voie arthroscopique en 2023, l’intimée n’a pas violé le droit fédéral. 6. a) En conclusion, le recours, mal fondé, doit être rejeté et la décision sur opposition attaquée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