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841 vom 23. September 2025</w:t>
      </w:r>
    </w:p>
    <w:p>
      <w:r>
        <w:t>VD Tribunal cantonal, 2025-09-23, FR</w:t>
      </w:r>
    </w:p>
    <w:p>
      <w:r>
        <w:rPr>
          <w:b/>
        </w:rPr>
        <w:t xml:space="preserve">Quelle: </w:t>
      </w:r>
      <w:r>
        <w:t>https://mcp.opencaselaw.ch/entscheid/vd_findinfo_Arr_t___2025___841</w:t>
      </w:r>
    </w:p>
    <w:p>
      <w:r>
        <w:t>FR: VD_FINDINFO Arrêt / 2025 / 841 du 23 septembre 2025</w:t>
      </w:r>
    </w:p>
    <w:p>
      <w:r>
        <w:t>IT: VD_FINDINFO Arrêt / 2025 / 841 del 23 settembre 2025</w:t>
      </w:r>
    </w:p>
    <w:p>
      <w:pPr>
        <w:pStyle w:val="Heading2"/>
      </w:pPr>
      <w:r>
        <w:t>Regeste</w:t>
      </w:r>
    </w:p>
    <w:p>
      <w:r>
        <w:t>REJET DE LA DEMANDE, INDEMNITÉ{EN GÉNÉRAL}, CURATEUR, AVOCAT | 276 al. 2 CC, 319 CPC (CH)</w:t>
      </w:r>
    </w:p>
    <w:p>
      <w:pPr>
        <w:pStyle w:val="Heading2"/>
      </w:pPr>
      <w:r>
        <w:t>Erwägungen</w:t>
      </w:r>
    </w:p>
    <w:p>
      <w:r>
        <w:rPr>
          <w:b/>
        </w:rPr>
        <w:t>E. 1</w:t>
      </w:r>
    </w:p>
    <w:p>
      <w:r>
        <w:t>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1.1</w:t>
      </w:r>
    </w:p>
    <w:p>
      <w:r>
        <w:t>Le recours est dirigé contre une décision du juge de paix fixant la rémunération intermédiaire due à Me L.________ pour son activité de curatrice de surveillance des relations personnelles au sens de l’art. 308 al. 2 CC du fils du recourant pour la période du 5 juin 2023 au 5 août 2024 et la mettant à la charge de la mère, par 292 fr., et à la charge du père, par 4'025 fr. 80.</w:t>
      </w:r>
    </w:p>
    <w:p>
      <w:r>
        <w:rPr>
          <w:b/>
        </w:rPr>
        <w:t>E. 1.2.1</w:t>
      </w:r>
    </w:p>
    <w:p>
      <w:r>
        <w:t>Contre une telle décision - qu’il convient d’assimiler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 e éd., Bâle 2019, ci-après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respectivement de l’enfant, si le droit fédéral y relatif (art. 360 à 456 CC applicables par renvoi de l’art. 314 al.</w:t>
      </w:r>
    </w:p>
    <w:p>
      <w:r>
        <w:rPr>
          <w:b/>
        </w:rPr>
        <w:t>E. 1.2.2</w:t>
      </w:r>
    </w:p>
    <w:p>
      <w:r>
        <w:t>Aux termes de l’art. 321 al. 2 CPC, dans sa nouvelle teneur en vigueur depuis le 1 er janvier 2025 (RO 2023 p. 491), le délai de recours est de dix jours contre les décisions prises en procédure sommaire, ainsi que contre les autres décisions et ordonnances d’instruction de première instance, à moins que la loi n’en dispose autrement. La décision sur les frais constituant une « autre décision » au sens de l'art. 319 let. b ch. 1 CPC (cf. JdT 2020 III 181 consid. 1.2.2, également Colombini, op. cit., in JdT 2020 III 182 ; CCUR 16 août 2023/155 ; Tappy, CR-CPC, n. 8 ad art. 110 CPC, p. 509), le délai pour recourir dans un tel cas est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2 juin 2025/104 ; CCUR 2 mai 2024/94 ; CCUR 10 août 2023).</w:t>
      </w:r>
    </w:p>
    <w:p>
      <w:r>
        <w:rPr>
          <w:b/>
        </w:rPr>
        <w:t>E. 1.2.3</w:t>
      </w:r>
    </w:p>
    <w:p>
      <w:r>
        <w:t>Pour être recevable, le recours doit être motivé (art. 321 al. 1 in initio CPC). Il incombe ainsi au recourant de s’en prendre à la motivation de la décision attaquée pour tendre à en démontrer le caractère erroné.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 TF 5A_693/2022 du 6 mars 2023 consid. 6.2). L’acte doit comporter des conclusions, lesquelles doivent indiquer sur quels points la partie recourante demande la modification ou l’annulation de la décision attaquée (TF 4A_462/2022 du 6 mars 2023 consid. 6.1 ; TF 4D_71/2020 du 23 février 2021 consid. 3.1 ; TF 4D_72/2014 du 12 mars 2015 consid. 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20 mai 2025/111 consid. 3.2.2 ; Jeandin, CR-CPC, n. 5 ad art. 321 CPC). Dès lors, les conclusions doivent être rédigées d’une manière suffisamment précise pour pouvoir être reprises telles quelles dans le dispositif de la décision à rendre (ATF 137 III 617 consid. 4.2 et 4.3 et les références citées, SJ 2012 I 373 ; TF 4A_281/2022 du 11 octobre 2022 consid. 3.1). On est en droit d'attendre d'une partie et, tout particulièrement, de son avocat que les conclusions soient clairement formulées (TF 4A_414/2024 du 18 mars 2025 consid. 2.2.1 ; TF 4A_ 555/2022 du 11 avril 2023 consid. 2.7).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w:t>
      </w:r>
    </w:p>
    <w:p>
      <w:r>
        <w:rPr>
          <w:b/>
        </w:rPr>
        <w:t>E. 1.2.4</w:t>
      </w:r>
    </w:p>
    <w:p>
      <w:r>
        <w:t>Les conclusions, les allégations de fait et les preuves nouvelles sont irrecevables (art. 326 al. 1 CPC ; CCUR 16 décembre 2024/289 ; CCUR 31 octobre 2024/241 ; Jeandin, CR-CPC, n. 3 ad art. 317 CPC, p. 317 ; Hofmann/Lüscher, Code de procédure civile, 3 e éd., Berne 2023, p. 375 ; Colombini, op. cit., in JdT 2015 III 164-165 ; JdT 2012 III 132).</w:t>
      </w:r>
    </w:p>
    <w:p>
      <w:r>
        <w:rPr>
          <w:b/>
        </w:rPr>
        <w:t>E. 1.3</w:t>
      </w:r>
    </w:p>
    <w:p>
      <w:r>
        <w:t>Le recours a été interjeté en temps utile (art. 142 al. 1bis et 143 al. 1 CPC) par le père de l’enfant concerné, visé par la décision mettant à sa charge une partie de l’indemnité intermédiaire de la curatrice. L’acte de recours contient une conclusion en réforme, tendant à la répartition des frais de curatelle à égalité entre la mère, le père, la DGEJ et la justice de paix, chacun pour un quart (conclusion 3). Il comporte également une conclusion 2, qui impute la responsabilité de la nomination de la curatrice avocate aux manquements et aux fautes professionnelles du précédent curateur, S.________, ainsi qu’au canton. Il ne s’agit toutefois pas d’une conclusion, soit d’une demande, mais d’un argument relatif à la conclusion</w:t>
      </w:r>
    </w:p>
    <w:p>
      <w:r>
        <w:rPr>
          <w:b/>
        </w:rPr>
        <w:t>E. 3</w:t>
      </w:r>
    </w:p>
    <w:p>
      <w:r>
        <w:t>Les motifs invoqués sous chiffre 1 du recours (« La raison de la nomination de Mme L.________ ») ne se réfèrent pas expressément à des passages de la décision attaquée. On comprend cependant que le recourant entend contester les considérations du premier juge relatives à son comportement à l’égard du précédent curateur et à la nécessité qui en a résulté de désigner un curateur avocat. Dans la mesure où A.N.________ requiert, pour cette raison, une réduction à un quart de la part des frais de curatelle mise à sa charge, le recours est recevable. A la lecture des motifs développés sous chiffre 2 du recours (« Le contenu du travail de Mme L.________ »), il apparaît que le recourant réfute devoir assumer l’essentiel de la rémunération allouée à la curatrice pour des opérations qui auraient été rendues nécessaires par le non-respect par la mère de l’enfant du calendrier des visites, ainsi que pour un entretien de la curatrice avec le grand-père maternel de B.N.________, dont il conteste l’utilité. En l’absence de conclusions chiffrées sur le total de l’indemnité à allouer à Me L.________, la recevabilité de ce dernier motif est douteuse. Cette question peut toutefois rester ouverte au vu de ce qui suit. Les pièces produites en deuxième instance sont, dans la mesure où elles ne figurent pas déjà au dossier de première instance, irrecevables. Le recours étant manifestement mal fondé, au vu des considérations qui seront développées ci-après, il a été renoncé à consulter l'autorité de protection et aucune détermination n’a été recueillie (cf. art. 322 al. 1 CPC). 2. Le recours peut être formé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4 e éd., Bâle 2025, n. 26 ad art. 319 CPC, p. 2103). Elle revoit librement les questions de droit soulevées par le recourant et peut substituer ses propres motifs à ceux de l'autorité précédente ou du recourant (ATF 147 III 176 consid. 4.2.1 ; Spühler, op. cit., n. 1 ad art. 320 CPC ; Hohl, Procédure civile, tome II, 2 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5D_214/2021 du</w:t>
      </w:r>
    </w:p>
    <w:p>
      <w:r>
        <w:rPr>
          <w:b/>
        </w:rPr>
        <w:t>E. 3.1</w:t>
      </w:r>
    </w:p>
    <w:p>
      <w:r>
        <w:t>Le recourant conteste la quotité de l’indemnité allouée à la curatrice, ainsi que la répartition de celle-ci, mise pour une part très importante à sa charge (4'025 fr. 80).</w:t>
      </w:r>
    </w:p>
    <w:p>
      <w:r>
        <w:rPr>
          <w:b/>
        </w:rPr>
        <w:t>E. 3.2.1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 e éd., , Genève-Zurich-Bâle 2019, n. 1370, pp. 899 et 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ou encore mis à la charge du signalant lorsque la procédure a été engagée ensuite d’un signalement reconnu abusif (al. 3).</w:t>
      </w:r>
    </w:p>
    <w:p>
      <w:r>
        <w:rPr>
          <w:b/>
        </w:rPr>
        <w:t>E. 3.2.2</w:t>
      </w:r>
    </w:p>
    <w:p>
      <w:r>
        <w:t>Selon l'art. 404 CC, applicable en protection de l’enfant en vertu de l’art. 314 al. 1 CC, le curateur a droit à une rémunération appropriée et au remboursement des frais justifiés, ces sommes étant prélevées sur les biens de la personne concernée. S'il s'agit d'un curateur professionnel, elles échoient à son employeur (al. 1). L'autorité de protection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Aux termes de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 3.2.2.1 ; art. 2 al. 1 let. a et b RAJ [Règlement du 7 décembre 2010 sur l'assistance judiciaire en matière civile ; BLV 211.02.03]).</w:t>
      </w:r>
    </w:p>
    <w:p>
      <w:r>
        <w:rPr>
          <w:b/>
        </w:rPr>
        <w:t>E. 3.3.1</w:t>
      </w:r>
    </w:p>
    <w:p>
      <w:r>
        <w:t>Le recourant reproche au premier juge d’avoir indemnisé la curatrice pour des opérations qui auraient été rendues nécessaires par le non-respect par la mère de l’enfant du calendrier des visites, ainsi que pour une opération dont il conteste l’utilité, à savoir un entretien de Me L.________ avec le grand-père maternel de B.N.________. Le recourant n’établit toutefois pas que certaines opérations de la curatrice ont été rendues inévitables en raison du non-respect par P.________ du calendrier des visites, ni que l’entretien de Me L.________ avec le grand-père maternel de l’enfant était inutile. Il se contente de présenter sa propre version des faits, sans tenter de la prouver au moyen de pièces déjà versées au dossier, ni chercher à démontrer le caractère arbitraire des considérations du premier juge. Ce grief est dès lors mal fondé.</w:t>
      </w:r>
    </w:p>
    <w:p>
      <w:r>
        <w:rPr>
          <w:b/>
        </w:rPr>
        <w:t>E. 3.3.2</w:t>
      </w:r>
    </w:p>
    <w:p>
      <w:r>
        <w:t>Le recourant conteste être à l’origine de la désignation d’une curatrice avocate en raison de son comportement inadéquat à l’égard du précédent curateur. Il considère que les fautes sont partagées et que chacun, à savoir la justice de paix, la DGEJ, la mère et lui-même, doit « reconnaître ses torts ou ses responsabilités ». Il fait valoir que S.________ n’a pas mis à exécution les décisions de la justice de paix (travailler le lien père-fille ; organiser des points de rencontres), que cette dernière n’a jamais fait respecter ses décisions et qu’il s’est offusqué de « l’immobilisme » de l’assistant social de la DGEJ, « raison pour laquelle, il a aussi demandé d’être relevé de ses fonctions ». Il invoque également le refus de la mère de suivre une quelconque médiation et de participer aux ateliers de coparentalité qu’il a suggérés, déclarant que ses propositions « de mains tendues ou de tables rondes n’ont pas aboutis (sic) ». En l’espèce, la curatelle de surveillance des relations personnelles au sens de l’art. 308 al. 2 CC a été instituée d’entente entre les parents, qui ont exprimé leur accord à cet égard à l’audience du 3 septembre 2018. Par décision du même jour, la justice de paix a ainsi nommé S.________ en qualité de curateur. Ce dernier a toutefois été relevé de ce mandat par décision du 4 novembre 2019 et l’avocate L.________ a été désignée curatrice à sa place. Cette nomination est intervenue sur proposition de la DGEJ en raison de la complexité de la collaboration avec le recourant et de ses demandes incessantes et parfois dénigrantes (bilan périodique de la DGEJ du 2 septembre 2019 ; décision de la justice de paix du 4 novembre 2019). Dans son arrêt du 3 février 2021, la Chambre des curatelles a retenu, tel que rappelé dans son arrêt du 8 avril 2024, que A.N.________ était responsable de la nomination Me L.________ en lieu et place de S.________ en raison de son comportement et devait ainsi assumer seul la différence entre l’indemnité, plus onéreuse, octroyée à l’avocate et celle qui aurait été allouée à l’assistant social de la DGEJ s’il était resté curateur à forme de l’art. 308 al. 2 CC et mise à la charge de chacun des parents par moitié. Elle a ainsi partiellement admis le recours interjeté par P.________ contre la décision du juge de paix du 10 août 2020 mettant l’indemnité de la curatrice à la charge des parents, chacun pour moitié. L’attitude négative du recourant ressort également du bilan de l’action socio-éducative de la DGEJ pour l’année 2021 du 15 août 2022, qui a demandé la levée de son mandat de curatelle d’assistance éducative à forme de l’art. 308 al. 1 CC au vu, entre autres, de l’imperméabilité du père à une intervention de sa part auprès de lui. La justice de paix a fait droit à cette requête par décision du 22 septembre 2022. Dans une lettre du 11 février 2025, la curatrice a évoqué les demandes successives et insistantes de A.N.________ tendant à une extension de son droit de visite et les pressions qu’il a exercées sur son fils dans ce but. Elle a indiqué qu’elle avait interpellé le recourant afin qu'il cesse une fois pour toute les pressions à ce sujet, mais qu’à la lecture du courrier de ce dernier du 10 janvier 2025, elle constatait que tel n’était pas le cas. Le recourant n’invoque aucun élément nouveau justifiant de revoir la répartition de l’indemnité intermédiaire de Me L.________ entre les parents. Il reproche à l’assistant social de la DGEJ précédemment nommé curateur de ne pas s’être conformé aux décisions de la justice de paix, à celle-ci de ne pas avoir fait respecter ses décisions et à la mère de persister à refuser toute médiation. Or, sous l’angle des art. 276 CC et 38 LVPAE, ces arguments ne permettent pas de remettre en cause la motivation du premier juge, selon laquelle le père porte la responsabilité du changement de curateur et la désignation, le 4 novembre 2019, de Me L.________ en lieu et place de S.________ et doit ainsi supporter la différence entre l’indemnité plus onéreuse due à l’avocate et la moitié de celle qui aurait été octroyée à l’assistant social de la DGEJ. 4. En conclusion, le recours de A.N.________ doit être rejeté dans la mesure de sa recevabilité et la décision entreprise confirmée. Les frais judiciaires de deuxième instance, arrêtés à 400 fr. (art. 74a al. 1 TFJC [Tarif du 28 septembre 2010 des frais judiciaires civils ; BLV 270.11.5]), sont mis la charge du recourant, qui succombe (art. 106 al. 2 CPC). Par ces motifs, la Chambre des curatelles du Tribunal cantonal, statuant à huis clos, prononce : I. Le recours est rejeté dans la mesure de sa recevabilité. II. La décision est confirmée. III. Les frais judiciaires de deuxième instance, arrêtés à 400 fr. (quatre cents francs), sont mis à la charge du recourant A.N.________. IV. L'arrêt est exécutoire. La présidente :              La greffière : Du L'arrêt qui précède, dont la rédaction a été approuvée à huis clos, est notifié à : ‑ M. A.N.________, ‑ Mme P.________, ‑ Me L.________, avocate,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mai 2022 consid. 2.2.1 ; TF 4D_30/2017 du 5 décembre 2017 consid. 2.2 et les références citées ; CCUR 2 mai 2024/94 ; CCUR 4 mars 2024/42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