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839 vom 30. September 2025</w:t>
      </w:r>
    </w:p>
    <w:p>
      <w:r>
        <w:t>VD Tribunal cantonal, 2025-09-30, FR</w:t>
      </w:r>
    </w:p>
    <w:p>
      <w:r>
        <w:rPr>
          <w:b/>
        </w:rPr>
        <w:t xml:space="preserve">Quelle: </w:t>
      </w:r>
      <w:r>
        <w:t>https://mcp.opencaselaw.ch/entscheid/vd_findinfo_Arr_t___2025___839</w:t>
      </w:r>
    </w:p>
    <w:p>
      <w:r>
        <w:t>FR: VD_FINDINFO Arrêt / 2025 / 839 du 30 septembre 2025</w:t>
      </w:r>
    </w:p>
    <w:p>
      <w:r>
        <w:t>IT: VD_FINDINFO Arrêt / 2025 / 839 del 30 settembre 2025</w:t>
      </w:r>
    </w:p>
    <w:p>
      <w:pPr>
        <w:pStyle w:val="Heading2"/>
      </w:pPr>
      <w:r>
        <w:t>Regeste</w:t>
      </w:r>
    </w:p>
    <w:p>
      <w:r>
        <w:t>REJET DE LA DEMANDE, DÉCISION D'IRRECEVABILITÉ, CURATELLE DE COOPÉRATION, MOTIVATION DE LA DEMANDE | 396 CC, 450 CC</w:t>
      </w:r>
    </w:p>
    <w:p>
      <w:pPr>
        <w:pStyle w:val="Heading2"/>
      </w:pPr>
      <w:r>
        <w:t>Erwägungen</w:t>
      </w:r>
    </w:p>
    <w:p>
      <w:r>
        <w:rPr>
          <w:b/>
        </w:rPr>
        <w:t>E. 1.1</w:t>
      </w:r>
    </w:p>
    <w:p>
      <w:r>
        <w:t>Le recours est dirigé contre une décision de la justice de paix rejetant la requête du recourant tendant à la levée d’une curatelle de coopération et maintenant ladite mesure ainsi que le curateur dans ses fonctions.</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2 et 20 al. 1 LVPAE et 450f CC ; ATF 140 III 167 consid. 2.3 ; CCUR 25 juillet 2022/127 et les références citées).</w:t>
      </w:r>
    </w:p>
    <w:p>
      <w:r>
        <w:rPr>
          <w:b/>
        </w:rPr>
        <w:t>E. 1.2.2</w:t>
      </w:r>
    </w:p>
    <w:p>
      <w:r>
        <w:t>L’art. 138 al. 2 CPC prévoit que l’acte est réputé notifié lorsqu’il a été remis au destinataire, à un de ses employés ou à une personne de seize ans au moins vivant dans le même ménage. En vertu de l’art. 142 CPC, les délais déclenchés par la communication ou la survenance d’un événement courent dès le lendemain de celles-ci (al. 1) ; si le dernier jour du délai échoit un samedi, un dimanche ou un jour férié reconnu par le droit fédéral ou le droit cantonal du siège du tribunal, le délai expire le premier jour ouvrable qui suit (al. 3).</w:t>
      </w:r>
    </w:p>
    <w:p>
      <w:r>
        <w:rPr>
          <w:b/>
        </w:rPr>
        <w:t>E. 1.2.3</w:t>
      </w:r>
    </w:p>
    <w:p>
      <w:r>
        <w:t>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w:t>
      </w:r>
    </w:p>
    <w:p>
      <w:r>
        <w:rPr>
          <w:b/>
        </w:rPr>
        <w:t>E. 1.2.4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 nn. 6 ss ad art. 450d CC, p. 2957).</w:t>
      </w:r>
    </w:p>
    <w:p>
      <w:r>
        <w:rPr>
          <w:b/>
        </w:rPr>
        <w:t>E. 1.3</w:t>
      </w:r>
    </w:p>
    <w:p>
      <w:r>
        <w:t>Le recours, déposé le lundi qui a suivi le trentième jour après le retrait de la décision litigieuse qui tombait un samedi, a été interjeté en temps utile par la personne concernée (art. 142 CPC). En l'espèce, bien que le recourant fasse l’objet d’une curatelle de coopération, il y a lieu de constater que l'acte de recours porte sur des droits strictement personnels au sens de l'art. 19c al. 1 CC, si bien que le présent recours n'avait pas à être ratifié par Me L.________, curateur du recourant (cf. TF 5A_750/2022 du 21 décembre 2022 consid. 1.2). Sous réserve d'insuffisances de motivation qui seront examinées ci-après, le recours est donc recevable. Le recours étant manifestement infondé, comme cela sera développé ci-après, il a été renoncé à consulter l’autorité de protection et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personne concernée doit être entendue personnellement, à moins que l'audition personnelle ne paraisse disproportionnée (art. 447 al. 1 CC). Exceptionnellement – et contrairement à ce qui était le cas sous l'ancien droit – l'audition peut être confiée à une délégation ou à un membre individuel de l'autorité, pour autant qu'une audition collégiale apparaisse inutile. Ce ne devrait être que rarement le cas. Il est généralement envisageable de renoncer complètement à l'audition, par exemple lorsque la personne concernée s'y oppose ou que l'audition n'est pas possible pour d'autres motifs (COPMA, op. cit ., n. 10.19, p. 249). L'absence de l'audition prévue à l'art. 447 al. 1 CC n'entraîne pas nécessairement l'annulation de la décision attaquée. Seul le droit d'être entendu tel que garanti à l'art. 29 Cst. est une garantie procédurale de nature formelle dont la violation entraîne en principe l'annulation ; lorsque seules les modalités prévues à l'art. 447 al. 1 CC ont été omises, l'annulation ne se justifie que si le recourant établit pourquoi il était essentiel pour la décision que l'autorité l'entende en personne (cf. Chabloz/Copt, in Commentaire romand, 2 e éd. 2024, n. 22 ad art. 447 CC p. 3196).</w:t>
      </w:r>
    </w:p>
    <w:p>
      <w:r>
        <w:rPr>
          <w:b/>
        </w:rPr>
        <w:t>E. 2.3</w:t>
      </w:r>
    </w:p>
    <w:p>
      <w:r>
        <w:t>Dans le cas présent, le recourant, qui avait déposé une requête et avait ainsi eu tout loisir d'y développer ses moyens, n'a pas été privé de son droit d'être entendu au sens de l'art. 29 Cst. par l'absence d'audition personnelle. Il a également eu l’occasion de se déterminer sur l’écriture de son curateur du 9 avril 2025, opportunité dont il a d’ailleurs fait usage en déposant son courrier du 5 mai 2025. Enfin, le recourant n'indique pas en quoi il aurait été essentiel que la justice l'entende personnellement. Il n'y a dès lors pas lieu d'annuler la décision attaquée pour vice de forme, à plus forte raison que le recourant a eu l’occasion d’exposer ses griefs par écrit auprès de la Chambre des curatelles qui a un plein pouvoir d’examen. La décision entreprise est donc formellement correcte et peut être examinée sur le fond.</w:t>
      </w:r>
    </w:p>
    <w:p>
      <w:r>
        <w:rPr>
          <w:b/>
        </w:rPr>
        <w:t>E. 3</w:t>
      </w:r>
    </w:p>
    <w:p>
      <w:r>
        <w:t>Le premier grief – laconiquement formulé par le recourant – consiste à reprocher à la justice de paix d’avoir confirmé une curatelle qui aurait été prononcée sur la base d'un rapport d’une expertise psychiatrique rendue en 2019 et établie sans que des tests psychologiques ne soient effectués. Ce faisant, le recourant critique en fait l’expertise psychiatrique qui a fondé la décision instituant la curatelle. Le grief est dès lors irrecevable, en ce sens qu’il n'est pas dirigé contre la décision attaquée mais contre celle qui a institué la curatelle et sur laquelle il n'y a pas lieu de revenir.</w:t>
      </w:r>
    </w:p>
    <w:p>
      <w:r>
        <w:rPr>
          <w:b/>
        </w:rPr>
        <w:t>E. 4.1</w:t>
      </w:r>
    </w:p>
    <w:p>
      <w:r>
        <w:t>Dans un deuxième grief, le recourant reproche à la justice de paix d'avoir écarté le rapport du Dr T.________ du 24 mars 2025. Pour le surplus, il conteste souffrir d'un trouble de la personnalité paranoïaque durable qui l'amène à entreprendre des démarches judiciaires qui sont contraires à ses intérêts, en faisant valoir qu'il a récemment rédigé pour un couple désuni une requête commune en divorce et que cet acte a été jugé recevable et qu'il aurait aidé un dénommé […] à faire valoir ses droits dans une procédure pénale diligentée par le Ministère public genevois. Il se prévaut encore d'un recours qu’il aurait lui-même rédigé et qui aurait été admis par la CDAP. Il ajoute que le Tribunal fédéral lui aurait reconnu la possibilité d’ester seul en justice. Il fait également valoir qu’il suivrait des études en cybercriminalité, ce qui attesterait de sa crédibilité. Enfin, il reproche à son curateur de faire obstruction à certaines de ses actions en justice en ne ratifiant pas – à tort selon lui – ses actes.</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2 e éd., Genève/Zurich 2022, nn. 719, pp.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398). Par « troubles psychiques » on entend toutes les pathologies mentales reconnues en psychiatrie, soit les psychoses et les psychopathies ayant des causes physiques ou non, ainsi que les démences (Meier, Droit de la protection de l’adulte, op. cit ., n. 722, p. 399 ; Guide pratique COPMA 2012, op. cit .,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Meier, Droit de la protection de l’adulte, op. cit ., n. 729, p. 403 ; Guide pratique COPMA 2012, op.cit., n. 5.10, p. 138).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 3.1 et les références citées).</w:t>
      </w:r>
    </w:p>
    <w:p>
      <w:r>
        <w:rPr>
          <w:b/>
        </w:rPr>
        <w:t>E. 4.2.2</w:t>
      </w:r>
    </w:p>
    <w:p>
      <w:r>
        <w:t>Parmi les différents types de curatelle existants, l’autorité de protection doit choisir celui qui répond le plus adéquatement possible aux besoins de la personne concernée et qui entame le moins possible son autonomie (Meier, Droit de la protection de l’adulte, op. cit ., n. 38, p. 22). 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contrairement à la curatelle d’accompagnement (art. 393 CC),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 Droit de la protection de l’adulte, op. cit ., nn. 863 ss, pp. 457 ss ; CCUR 15 octobre 2020/197).</w:t>
      </w:r>
    </w:p>
    <w:p>
      <w:r>
        <w:rPr>
          <w:b/>
        </w:rPr>
        <w:t>E. 4.3</w:t>
      </w:r>
    </w:p>
    <w:p>
      <w:r>
        <w:t>Tout d’abord, il est exact que la justice de paix s'est écartée du rapport du Dr T.________ du 24 mars 2025 produit par le recourant. Elle a motivé sa position en expliquant qu’elle considérait que les appréciations du Dr T.________ étaient fondées sur certaines prémisses de fait fausses – en particulier en ce qui concerne le véritable auteur de l'acte de recours admis par la CDAP – et/ou lacunaires, ce médecin faisant notamment fi du diagnostic posé par les experts en 2019 et n’en posant aucun autre. Le recourant ne formule aucune critique contre les motifs pour lesquels la justice de paix s'est écartée du rapport du Dr T.________. À cet égard, le recours ne satisfait donc pas aux exigences de motivation et est irrecevable.</w:t>
      </w:r>
    </w:p>
    <w:p>
      <w:r>
        <w:rPr>
          <w:b/>
        </w:rPr>
        <w:t>E. 4.4</w:t>
      </w:r>
    </w:p>
    <w:p>
      <w:r>
        <w:t>Pour le surplus, la situation du recourant n’a pas évolué depuis l’arrêt de la Chambre de céans du 30 janvier 2024 (CCUR n°17). A cet égard, il ressort en particulier des déterminations du 9 avril 2025 de Me L.________ que le recourant demeure incapable d’apprécier correctement la qualité de ses recours et continue à mettre en péril sa situation financière. Contrairement à ce que soutient le recourant, les arguments développés dans le recours d’X.________ admis par la CDAP ont en fait été rédigés par Me L.________. Pour le surplus, quels que soient les succès qu'il a pu obtenir en sous-main devant le juge de la conciliation dans une procédure de divorce ou devant le Ministère public genevois, il résulte du recueil interne des arrêts rendus par le Tribunal cantonal que le recourant n’a de cesse de saisir la CREP de procédés prolixes, incompréhensibles et fantaisistes, qui lui coûteraient des sommes importantes en frais judiciaires s'il n'était pas sous curatelle. II est vraisemblable qu'il en irait de même dans les causes qui ne concernent pas des droits strictement personnels et pour lesquelles le curateur a refusé la ratification. Enfin, ni les lettres de l'ancien Premier ministre français [...] et de l'ancienne Ministre de l'Enseignement supérieur [...], dont le recourant se prévaut sans les produire, ni l’attestation d’études produites par le recourant à l’appui de son courrier du 5 mai 2025 et dont il fait valoir qu’elle attesterait de sa crédibilité académique, ni d’ailleurs les auditions de témoins requises ou le rapport médical qu’il a annoncé vouloir déposer ensuite de son rendez-vous du 24 septembre 2025 ne sont susceptibles de changer quoi que ce soit à l'appréciation de la capacité du recourant à apprécier raisonnablement l'opportunité d'ouvrir une procédure judiciaire. Enfin, le recourant est toujours au bénéfice du revenu d’insertion et à la charge des services sociaux du canton de Vaud, ce qui contredit les constatations du Dr T.________ selon lesquelles l’intéressé aurait retrouvé son autonomie. En définitive, mal fondés, les griefs du recourants doivent être rejetés dans la mesure où ils sont recevables.</w:t>
      </w:r>
    </w:p>
    <w:p>
      <w:r>
        <w:rPr>
          <w:b/>
        </w:rPr>
        <w:t>E. 5</w:t>
      </w:r>
    </w:p>
    <w:p>
      <w:r>
        <w:t>En conclusion, le recours est rejeté dans la mesure de sa recevabilité.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 de deuxième instance, est exécutoire. La présidente :              La greffière : Du L'arrêt qui précède, dont la rédaction a été approuvée à huis clos, est notifié à : ‑ M. X.________, ‑ Me L.________, curateur,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