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800 vom 1. Januar 2021</w:t>
      </w:r>
    </w:p>
    <w:p>
      <w:r>
        <w:t>VD Tribunal cantonal, 2021-01-01, FR</w:t>
      </w:r>
    </w:p>
    <w:p>
      <w:r>
        <w:rPr>
          <w:b/>
        </w:rPr>
        <w:t xml:space="preserve">Quelle: </w:t>
      </w:r>
      <w:r>
        <w:t>https://mcp.opencaselaw.ch/entscheid/vd_findinfo_Arr_t___2025___800</w:t>
      </w:r>
    </w:p>
    <w:p>
      <w:r>
        <w:t>FR: VD_FINDINFO Arrêt / 2025 / 800 du 1 janvier 2021</w:t>
      </w:r>
    </w:p>
    <w:p>
      <w:r>
        <w:t>IT: VD_FINDINFO Arrêt / 2025 / 800 del 1 gennaio 2021</w:t>
      </w:r>
    </w:p>
    <w:p>
      <w:pPr>
        <w:pStyle w:val="Heading2"/>
      </w:pPr>
      <w:r>
        <w:t>Regeste</w:t>
      </w:r>
    </w:p>
    <w:p>
      <w:r>
        <w:t>LOI FÉDÉRALE SUR L'ASSURANCE-INVALIDITÉ, EXPERTISE MÉDICALE, FORCE PROBANTE, DÉPRESSION, ASSISTANCE JUDICIAIRE | 37 al. 4 LPGA, 61 let. c LPGA, 8 al. 1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c) En l’occurrence, déposé en temps utile auprès du tribunal compétent (art. 93 let. a LPA-VD) et respectant les autres conditions formelles prévues par la loi (art. 61 let. b LPGA notamment), le recours est recevable en tant qu’il porte tant sur la décision du 9 février 2024 que sur la décision incidente du 13 février 2024.</w:t>
      </w:r>
    </w:p>
    <w:p>
      <w:r>
        <w:rPr>
          <w:b/>
        </w:rPr>
        <w:t>E. 2</w:t>
      </w:r>
    </w:p>
    <w:p>
      <w:r>
        <w:t>a) Le litige porte sur le droit de la recourante, d’une part, à des prestations de l’assurance-invalidité, singulièrement le droit à une rente d’invalidité (décision du 9 février 2024), et, d’autre part, à l’octroi de l’assistance juridique gratuite durant la procédure devant l’intimé (décision du 13 février 2024).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la recourante a déposé, en date du 29 mars 2021, une demande de prestations de l’assurance-invalidité. Ainsi, étant donné que l’état de fait déterminant est antérieur au 31 décembre 2021 et concerne notamment l’éventuelle allocation d’une rente dès le 1 er septembre 2021 au plus tôt (soit six mois après le dépôt de cette demande [cf. art. 29 al. 1 et 3 LAI]), il convient d’appliquer le droit en vigueur jusqu’au 31 décembre 2021.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l’espèce, par décision du 9 février 2024, l’intimé a refusé de prester en faveur de la recourante. Il s’est, à ce titre, fondé sur l’expertise du 11 août 2023 du centre d'expertises R.________. Selon cette dernière, la recourante présentait les diagnostics de bursite sous acromiale et tendinopathie d’insertion de la coiffe à l’épaule gauche, de cervicalgies sur cervicarthrose débutante aux vertèbres C4-C6 et uncarthrose débutante aux vertèbres C5-C6 bilatérale sans signe de compression radiculaire, de lombalgies chroniques sur discopathie aux vertèbres L4-S1 sans conflit discoradiculaire, de diarrhée, stéatorrhées récurrentes post-prandiales, épisodes de malaise avec hypotension artérielle et possibles épisodes d’hypoglycémies peu symptomatiques dans le cadre d’un dumping syndrome précoce et tardif évoluant depuis la chirurgie bariatrique bypass réalisée en 2014, de céphalées de tension, de trouble anxieux et dépressif mixte et de tabagisme actif. Ces atteintes n’avaient toutefois aucun impact sur sa capacité de travail dans une activité adaptée aux limitations fonctionnelles d’ordre orthopédique, soit une activité proscrivant le port des charges supérieures à 10 kg de manière répétée et le travail en hauteur, étant précisé que l’activité habituelle constituait une telle activité adaptée. La recourante conteste, elle, la valeur probante de cette expertise, soutenant qu’elle ne tenait pas compte de l’ensemble du dossier médical et était lacunaire et contradictoire sur plusieurs points. b) Cela étant, on ne saurait adhérer aux conclusions de l’expertise précitée pour les raisons suivantes. aa) En premier lieu, les experts du centre d'expertises R.________ ont estimé que la capacité de travail de la recourante – dans toute activité – était entière, et ce depuis toujours. Or celle-ci a été victime d’un accident de la route en date du 7 septembre 2019. Les médecins traitants, en particulier les Drs P.________ et W.________, ont attesté, à la suite de cet événement, une incapacité de travail fluctuant entre 100 % et 50 %, compte tenu de la présence notamment de cervicalgies et de lombalgies, mais aussi d’un épisode dépressif moyen. Dès lors, à défaut d’une analyse précise de l’évolution de la capacité de travail de la recourante et d’une prise de position claire sur les raisons pour lesquelles l’évaluation des médecins susmentionnés n’était pas crédible, les conclusions des experts ne peuvent être suivies, étant rappelé que ces derniers étaient tenus d’examiner de manière circonstanciée les points litigieux (cf. supra consid. 4c). bb) Il subsiste en outre des divergences quant à la nature de l’activité habituelle de la recourante retenue par les experts. Ainsi, sous le point relatif au motif et circonstance de l’expertise, il est noté que l’assurée travaillait habituellement en tant que secrétaire comptable. Dans l’évaluation consensuelle, il est en revanche fait état – à juste titre – d’une activité habituelle d’employée de crèche, à savoir l’activité qu’elle exerçait juste avant son accident de 2019. Le Dr H.________ retient une activité d’assistante éducative à la crèche ou une activité de bureau et, le Dr D.________, une activité d’employée de crèche. Les Drs U.________ et O.________, pour leur part, n’ont pas expressément précisé le type d’emploi qu’ils considéraient comme l’activité habituelle de la recourante. Partant, dès lors que les experts ont fondé leur évaluation de la capacité de travail dans ladite activité en tenant compte chacun d’activités différentes, leurs conclusions consensuelles sur ce point sont sujettes à caution. Cette irrégularité est d’autant plus problématique qu’il n’est pas certain qu’une activité en crèche, laquelle peut se révéler exigeante sur le plan physique, est compatible avec les seules limitations fonctionnelles retenues – par la Dre O.________ –, soit l’interdiction du port répété de charges supérieures à 10 kg et du travail en hauteur. cc) S’agissant du volet orthopédique de l’expertise, la Dre O.________ a retenu les diagnostics de bursite sous acromiale et tendinopathie d’insertion de la coiffe à l’épaule gauche, de cervicalgies sur cervicarthrose débutante aux vertèbres C4-C6 et uncarthrose débutante aux vertèbres C5-C6 bilatérale sans signe de compression radiculaire et de lombalgies chroniques sur discopathie aux vertèbres L4-S1 sans conflit discoradiculaire. Pour motiver ces diagnostics, elle s’est cependant contentée de renvoyer simplement – sans autre précision – à des résultats d’imagerie recueillis pour l’occasion, à savoir un rapport d’échographie de l’épaule gauche du 15 juin 2023, un rapport d’IRM (imagerie par résonance magnétique) cervicale du 20 juin 2023 et un rapport d’IRM de la colonne lombaire et des sacro-iliaques du 26 juin 2023, sans faire de parallèle avec son propre examen clinique. Elle ne s’est de la sorte pas prononcée sur les nombreux rapports établis par la Clinique de chirurgie orthopédique de l’hôpital G.________, lesquels mettaient pourtant en évidence des discopathies dégénératives débutant déjà aux vertèbres C3-C4 et L3-L4. L’experte n’a de surcroît pas spécifié les diagnostics qu’elle considérait comme incapacitants, étant précisé qu’elle a retenu des limitations fonctionnelles. Certes, elle a mentionné que les douleurs décrites au niveau de l’épaule gauche étaient dues à la bursite, laquelle était souvent à l’origine d’un tableau très algique avec irradiation cervicale, de sorte qu’on peut présumer que cette atteinte est invalidante. Rien dans le volet orthopédique ne permet toutefois d’arriver à cette même conclusion pour les deux autres troubles diagnostiqués. Au demeurant, la Dre O.________ n’a nullement fait part des motifs pour lesquels elle a décidé d’écarter les nombreuses limitations fonctionnelles d’ordre somatique observées par le Dr P.________ dans son rapport du 28 mai 2021 notamment, soit des limitations – considérablement incapacitantes – liées aux actes de s’asseoir, de se tenir debout, de marcher, de s’agenouiller, ramper ou s’accroupir, de travailler le dos courbé, d’effectuer des mouvements fréquents de torsion ou de flexion et de tendre ou lever les bras. dd) Enfin, en ce qui concerne le volet psychiatrique de l’expertise, le Dr U.________ a fait état du diagnostic – sans incidence sur la capacité de travail – de trouble anxieux et dépressif mixte. Il a en revanche exclu celui d’épisode dépressif de moyenne intensité posé par le Dr W.________. Pour justifier son appréciation, il a notamment soutenu que le traitement médicamenteux pris par la recourante ne comporterait pas d’antidépresseur. Or il ressort du volet orthopédique de l’expertise que celle-ci bénéficiait bel et bien d’un traitement d’antidépresseur, avec la prescription de Déprévita ( recte : Deprivita). L’analyse diagnostique réalisée par l’expert psychiatre est donc lacunaire, si bien qu’elle ne saurait être suivie. Par ailleurs, dans son rapport du 24 juin 2022, le Dr W.________ a indiqué voir la recourante trois à quatre fois par semaine. Cet élément ne ressort cependant pas du rapport d’expertise, le Dr U.________ s’étant contenté des déclarations de l’assurée selon lesquelles elle consultait toutes les deux semaines son psychiatre traitant au moment de l’expertise. Il appartenait de ce fait à l’expert psychiatre d’investiguer les raisons qui avaient conduit à un tel espacement des rendez-vous en une année. Faute de s’être penché sur ce point, son examen s’avère incomplet. c) Par conséquent, au regard de ce qui précède, force est de constater que l’expertise du 11 août 2023 du centre d'expertises R.________ ne remplit pas les réquisits jurisprudentiels pour se voir reconnaître une pleine valeur probante (cf. supra consid. 4c).</w:t>
      </w:r>
    </w:p>
    <w:p>
      <w:r>
        <w:rPr>
          <w:b/>
        </w:rPr>
        <w:t>E. 6</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9C_149/2025 du 5 août 2025 consid. 2.3).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139 V 99 consid. 1.1 ; 137 V 210 consid. 4.4.1.4 et 4.4.1.5). b) En l’occurrence, dans la mesure où l’expertise du 11 août 2023 doit être écartée, il s’impose d’annuler la décision du 9 février 2024 et de renvoyer la cause à l’intimé pour instruction complémentaire, les autres pièces au dossier, en particulier les divers rapports des médecins traitants, ne permettant en effet pas d’arrêter la situation médicale globale de la recourante. Il reviendra d’abord à cette autorité de compléter le dossier en recueillant des rapports à jour auprès des médecins traitants, puis de mettre en œuvre une expertise pluridisciplinaire avec volets en orthopédie, en rhumatologie, en médecine interne et en psychiatre, afin de clarifier les atteintes dont souffre l’assurée et leurs effets sur sa capacité de travail passée et future.</w:t>
      </w:r>
    </w:p>
    <w:p>
      <w:r>
        <w:rPr>
          <w:b/>
        </w:rPr>
        <w:t>E. 7</w:t>
      </w:r>
    </w:p>
    <w:p>
      <w:r>
        <w:t>a) La recourante conteste également la décision incidente de 13 février 2024 de l’intimé lui refusant l’assistance juridique gratuite pour la procédure administrative. b)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 cet égard, il y a lieu de tenir compte des circonstances du cas d’espèce, de la particularité des règles de procédure applicables, ainsi que des spécificités de la procédure administrative en cours ; en particulier, il faut mentionner, en plus de la complexité des questions de droit et de l’état de fait, les circonstances qui tiennent à la personne concernée, comme sa capacité de s’orienter dans une procédure (TF 8C_180/2022 du 28 octobre 2022 consid. 2.2 et les références). c) En l’espèce, la recourante estime qu’il lui était nécessaire de faire appel à un avocat, compte tenu du fait que l’expertise pluridisciplinaire du centre d'expertises R.________ faisait soixante-sept pages et que le dossier comportait plusieurs rapports médicaux en allemand et en français, ce qui rendait sa compréhension plus compliquée. On ne saurait toutefois la suivre. En effet, il n’est pas inhabituel pour un dossier d’assurance-invalidité de comporter un rapport d’expertise pluridisciplinaire de plusieurs dizaines de pages. Il apparaît en outre que la recourante possède de bonnes notions d’allemand, comme cela ressort du volet orthopédique du rapport d’expertise, mais également d’autres pièces au dossier, telles que le contrat de travail qu’elle a conclu le 10 juillet 2019 avec son dernier employeur et le certificat de travail établi par celui-ci le 11 octobre 2019, lesquels sont tous les deux rédigés dans cette langue. L’ensemble des rapports de son psychiatre traitant sont également formulés en allemand. Partant, le seul fait que des pièces au dossier aient été établies dans cette langue ne permet pas de retenir que l’assistance d’un avocat était nécessaire dans le cadre de la procédure devant l’intimé. d) Dès lors, au vu des précédentes considérations, c’est à juste titre que l’intimé a estimé que la complexité de l’affaire n’était pas telle que l’assistance gratuite d’un conseil juridique fût nécessaire. Il n’a par conséquent pas violé l’art. 37 al. 4 LPGA en refusant de désigner un avocat d’office à la recourante. L’assistance juridique en procédure administrative n’étant objectivement pas exigée, il n’y pas lieu d’examiner plus avant les autres conditions posées par cette disposition.</w:t>
      </w:r>
    </w:p>
    <w:p>
      <w:r>
        <w:rPr>
          <w:b/>
        </w:rPr>
        <w:t>E. 8</w:t>
      </w:r>
    </w:p>
    <w:p>
      <w:r>
        <w:t>a) En définitive, le recours doit être admis en tant qu’il porte sur la décision rendue le 9 février 2024 par l’intimé, cette dernière étant annulée et la cause renvoyée à cette autorité pour complément d’instruction dans le sens des considérants, puis nouvelle décision. Il doit en revanche être rejeté en tant qu’il porte sur la décision incidente du 13 février 2024 refusant l’assistance juridique gratuite, cette dernière étant confirmée. b) La procédure de recours en matière de contestations portant sur des prestations de l’assurance-invalidité est soumise à des frais de justice (art. 69 al. 1 bis LAI). Il convient de les fixer à 600 fr. et de les mettre à la charge de la partie intimée, vu l’issue du litige (cf. TF 9C_65/2024 du 12 août 2024 consid. 4.3). c) La partie recourante obtient partiellement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Par décision du 18 mars 2024 du juge instructeur, la partie recourante a été mise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