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2025 / 778 vom 13. November 2025</w:t>
      </w:r>
    </w:p>
    <w:p>
      <w:r>
        <w:t>VD Tribunal cantonal, 2025-11-13, FR</w:t>
      </w:r>
    </w:p>
    <w:p>
      <w:r>
        <w:rPr>
          <w:b/>
        </w:rPr>
        <w:t xml:space="preserve">Quelle: </w:t>
      </w:r>
      <w:r>
        <w:t>https://mcp.opencaselaw.ch/entscheid/vd_findinfo_Arr_t___2025___778</w:t>
      </w:r>
    </w:p>
    <w:p>
      <w:r>
        <w:t>FR: VD_FINDINFO Arrêt / 2025 / 778 du 13 novembre 2025</w:t>
      </w:r>
    </w:p>
    <w:p>
      <w:r>
        <w:t>IT: VD_FINDINFO Arrêt / 2025 / 778 del 13 novembre 2025</w:t>
      </w:r>
    </w:p>
    <w:p>
      <w:pPr>
        <w:pStyle w:val="Heading2"/>
      </w:pPr>
      <w:r>
        <w:t>Regeste</w:t>
      </w:r>
    </w:p>
    <w:p>
      <w:r>
        <w:t>LIEN DE CAUSALITÉ, ATTEINTE À LA SANTÉ PHYSIQUE, ATTEINTE À LA SANTÉ PSYCHIQUE, EXPERTISE PLURIDISCIPLINAIRE, SERVICE MILITAIRE | 5 LAM, 6 LAM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Vu ce qui précède, le recours doit être rejeté et la décision sur opposition entreprise confirmée. b) Il n’y a pas lieu de percevoir de frais judiciaires (art. 61 let. f 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