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771 vom 10. September 2025</w:t>
      </w:r>
    </w:p>
    <w:p>
      <w:r>
        <w:t>VD Tribunal cantonal, 2025-09-10, FR</w:t>
      </w:r>
    </w:p>
    <w:p>
      <w:r>
        <w:rPr>
          <w:b/>
        </w:rPr>
        <w:t xml:space="preserve">Quelle: </w:t>
      </w:r>
      <w:r>
        <w:t>https://mcp.opencaselaw.ch/entscheid/vd_findinfo_Arr_t___2025___771</w:t>
      </w:r>
    </w:p>
    <w:p>
      <w:r>
        <w:t>FR: VD_FINDINFO Arrêt / 2025 / 771 du 10 septembre 2025</w:t>
      </w:r>
    </w:p>
    <w:p>
      <w:r>
        <w:t>IT: VD_FINDINFO Arrêt / 2025 / 771 del 10 settembre 2025</w:t>
      </w:r>
    </w:p>
    <w:p>
      <w:pPr>
        <w:pStyle w:val="Heading2"/>
      </w:pPr>
      <w:r>
        <w:t>Regeste</w:t>
      </w:r>
    </w:p>
    <w:p>
      <w:r>
        <w:t>REJET DE LA DEMANDE, APPRÉCIATION ANTICIPÉE DES PREUVES, COMPARAISON DES REVENUS, DERMATOLOGIE, AFFECTION DE LA PEAU, EXPERTISE ORDONNÉE PAR L'ADMINISTRATION, EXPERTISE PLURIDISCIPLINAIRE, ÉVALUATION DE L'INCAPACITÉ DE TRAVAIL, MARCHÉ ÉQUILIBRÉ DU TRAVAIL | 28 al. 1 LAI, 4 al. 1 LAI, 16 LPGA, 6 LPGA, 7 LPGA, 8 al. 1 LPGA</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rPr>
          <w:b/>
        </w:rPr>
        <w:t>E. 4.1</w:t>
      </w:r>
    </w:p>
    <w:p>
      <w:r>
        <w:t>;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 TF 8C_757/2023 du 20 décembre 2024 consid. 7 ; TF 8C_220/2024 du 4 octobre 2024 consid. 3.2). d) On ajoutera que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(cf. ATF 125 V 351 consid. 3b/bb ; TFA I 266/06 du 19 juin 2006 consid. 2). Pour remettre en cause la valeur probante d'une expertise médicale, il convient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 TF 9C_268/2011 du 26 juillet 2011 consid. 6.1.2 et la jurisprudence citée). Cela vaut également lorsqu'un ou plusieurs médecins ont émis une opinion divergeant de celle de l'expert (TF 9C_268/2011 déjà cité et les références).</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w:t>
      </w:r>
    </w:p>
    <w:p>
      <w:r>
        <w:rPr>
          <w:b/>
        </w:rPr>
        <w:t>E. 6</w:t>
      </w:r>
    </w:p>
    <w:p>
      <w:r>
        <w:t>a) En l’espèce, l’office intimé a retenu que la recourante dispose, malgré les atteintes qu’elle présente, d’une capacité résiduelle de travail de 50 % dans une activité adaptée à ses limitations fonctionnelles dermatologiques et rachidiennes (activités en milieu sec, sans contact avec l’eau, sans contact avec des produits de nettoyage, éviter toute activité professionnelle physiquement lourde, avec maintien de position statique prolongée au-delà de 60-75 minutes sans possibilité de varier la position, avec levage répétitif de charges dont le poids ne devrait pas excéder 5 à 7 kg au maximum, ou comportant un stress de rendement). b) Pour fonder son appréciation, l’office AI s’est basé sur l’expertise pluridisciplinaire de l’Unité d'expertises I.________. Tel que complété les 7 octobre 2022 et 24 février 2023, le rapport du 7 avril 2020 remplit toutes les exigences formelles auxquelles la jurisprudence soumet la valeur probante d’un tel document. Tant sur les plans rhumatologique, dermatologique et psychiatrique que sur celui de la médecine interne générale, l’expertise est fondée sur des examens cliniques complets. Reposant sur une anamnèse circonstanciée (personnelle, familiale, professionnelle et psychosociale), elle a été établie en pleine connaissance du dossier médical et assécurologique mis à disposition. Les experts se sont en particulier exprimés sur les rapports des autres médecins ayant examiné la recourante, exposant le cas échéant pour quelles raisons ils s’écartaient de leur point de vue. En outre, les plaintes de la recourante ont été prises en considération. Par ailleurs, les experts ont discuté les options thérapeutiques envisageables, évalué la cohérence et l’authenticité de même qu’ils ont examiné la personnalité, les ressources et les difficultés de la recourante, y compris dans le cadre de l’accomplissement des tâches ménagères. L’appréciation de la situation médicale est claire et débouche sur des conclusions soigneusement motivées. aa) Aux termes de leur évaluation consensuelle, les experts ont retenu, sur le plan dermatologique, que, depuis son adolescence, l’assurée présentait un eczéma avec une dermite chronique des mains. Si cette pathologie était certes présente lors des différentes activités professionnelles exercées, l’aggravation de la situation vers 2015-2016 avait abouti, entre autres, à une interruption de l’activité professionnelle. Depuis lors et jusqu’au jour de l’expertise, la situation clinique ne s’était clairement pas améliorée en dépit de multiples tentatives thérapeutiques. Les investigations effectuées sur le plan allergologique par le Dr Z.________ n’avaient pas permis de mettre en évidence de sensibilisation spécifique. Le diagnostic avancé par ce médecin était celui d’une dermatite atopique d’expression tardive. Or il n’existait aucun antécédent familial d’atopie chez la recourante ni aucun antécédent personnel de ce registre. Comme la possibilité d’autres dermatoses chroniques des mains, psoriasis, lichen, n’était pas suggestive vu l’histoire et l’aspect clinique actuel, les experts ont retenu l’existence d’une dermite chronique des mains, de nature principalement sévère inflammatoire. Concernant le diagnostic d’urticaire chronique, les experts ont relevé qu’il était assez clair, puisque tant la clinique que l’examen histopathologique pratiqué par le Dr P.________ en 2015 étaient de nature à le démontrer. Ils ont également retenu une dermite séborrhéique du scalpe, sans qu’il n’y ait par ailleurs d’argument pour un autre diagnostic différentiel que celui d’un sébo-psoriasis localisé. bb) Sur le plan rhumatologique, l’assurée présentait des lombo-pseudo-sciatalgies gauches chroniques non spécifiques avec des discopathies L3-L4, L4-L5 et L5-S1, n’ayant pas répondu à un traitement antalgique de paracétamol et d’anti-inflammatoires non stéroïdiens, ni à des traitements interventionnels de la douleur ou à de la physiothérapie. Pour le reste, l’examen clinique était relativement pauvre et il n’avait pas permis de mettre en évidence de limitation fonctionnelle anatomique structurelle de la colonne lombaire, des hanches, des genoux ou des chevilles. Il s’agissait plutôt de douleurs qui limitaient les capacités fonctionnelles de la recourante à la marche et à la position assise. Globalement, les experts rejoignaient les conclusions de l’expert rhumatologue X.________ ayant examiné l’intéressée en avril 2016. cc) Sur le plan psychiatrique, les experts ont constaté une baisse de l’élan vital, une réduction de l’énergie entraînant une augmentation de la fatigabilité, un abaissement de l’humeur, une diminution de l’intérêt et du plaisir, une diminution de la concentration et de l’attention, des idées de culpabilité, des idées de dévalorisation, un sentiment de désespoir, une perturbation du sommeil et des troubles de l’appétit. Le tableau clinique de l’assurée rentrait dans le cadre d’un épisode dépressif moyen, les examinateurs n’ayant pas retenu un épisode dépressif sévère, puisque l’abaissement de l’humeur n’était pas toujours présent. Au demeurant, le sentiment de désespoir et les troubles du sommeil étaient directement imputables à l’ampleur des douleurs cutanées. Ils ont écarté le diagnostic d’anxiété généralisée, bien que la recourante présentât des symptômes anxieux primaires. Il n’y avait enfin pas d’argument en faveur d’un éventuel trouble somatoforme ni pour un autre diagnostic psychiatrique. dd) Sous l’angle de l’exigibilité, la dermite chronique des mains, de nature principalement irritative sévère et inflammatoire, limitait principalement l’assurée et rendait nulle sa capacité de travail dans son activité habituelle de femme de ménage depuis 2015. Une activité adaptée devrait s’exercer en milieu sec, sans contact avec de l’eau, ni avec des produits de nettoyage qui pourraient aggraver la situation. Les douleurs chroniques étaient difficilement gérables au niveau des mains et limitaient l’intéressée même dans une activité adaptée, raison pour laquelle sa capacité de travail était estimée à 50 %. Une augmentation progressive de 75 à 100 % pouvait être envisagée en fonction de l’évolution clinique et de la réponse aux traitements proposés. Sur le plan rhumatologique, les lombo-pseudo-sciatalgies gauches chroniques non spécifiques associées à la discopathie L3-L4, L4-L5 et L5-S1 imposaient également des limitations fonctionnelles et rendaient, à l’instar des problèmes dermatologiques, la capacité de travail dans le métier habituel de femme de ménage nulle depuis la réalisation d’une IRM lombaire en novembre 2015. En raison des douleurs chroniques, une activité adaptée serait une activité légère, sans maintien de position statique prolongée au-delà de 60-75 minutes sans possibilité de varier la position, sans levage répétitif de charges (lesquelles ne devaient pas excéder 5 à 7 kg au maximum) et ne comportant pas de stress de rendement. La capacité de travail de la recourante dans une telle activité était totale au plan strictement rhumatologique. Considérant toutefois que la douleur était chronique, les experts ont admis, de manière consensuelle, une diminution de rendement de 20 % y compris pour les activités de la vie quotidienne. Quant à l’épisode dépressif moyen, il ne représentait pas un facteur limitant pour l’assurée, si bien qu’il demeurait sans effet sur sa capacité de travail. c) La recourante conteste les conclusions de l’expertise de l’Unité d'expertises I.________ et soutient que l’instruction menée par l’office AI est incomplète. Elle considère que ses problèmes dermatologiques n’ont pas été suffisamment pris en considération par les experts et qu’un nouvel examen devrait être réalisé. Elle conteste ainsi l’appréciation de sa capacité de travail faite par les experts. aa) Comme relevé ci-avant, les experts ont estimé que, dans une activité adaptée aux limitations fonctionnelles retenues, l’assurée disposait d’une capacité de travail de 50 % (cf. rapport du 7 avril 2020, p. 6). C’est pourquoi, l’office AI a mis en œuvre une mesure d’observation professionnelle sous la forme d’un stage à 50 % auprès de l’Orif de N.________, lequel devait débuter le 17 août 2020. Or la présence de l’intéressée s’est élevée à 5 heures et 30 minutes sur une durée de trois jours en raison d’une aggravation des lésions cutanées, ce qui a conduit l’intimé à mettre un terme à la mesure au 31 août 2020. Par la suite, le Dr P.________ a fait état de « mains sanguinolentes et crevassées » (rapport du 6 avril 2022), si bien que le SMR a recommandé la mise en œuvre d’un complément d’expertise dermatologique. Dans son rapport du 7 octobre 2022, le Dr K.________ a confirmé que les diagnostics et les limitations fonctionnelles étaient similaires à ceux retenus en 2020. D’après ce médecin, la capacité de travail était nulle dans toute activité manuelle, tandis qu’une activité de téléphoniste ou de surveillance pourrait être théoriquement réalisable. Réinterpellé par le SMR, le Dr K.________ a, le 24 février 2023, précisé que la capacité de travail de 50 % relevait d’une approche médico-théorique arrêtée dans une activité adaptée et que celle-ci était restée stable compte tenu du peu d’évolution entre 2020 et 2023. Il a réaffirmé que, moyennant un traitement médicamenteux approprié associé à un suivi dermatologique auprès d’un service universitaire, la capacité de travail pouvait atteindre 75 voire 100 % au bout d’une période de six mois. bb) Le rapport établi le 28 avril 2023 par la Dre W.________ ne permet pas de susciter un doute quant au bien-fondé des conclusions rendues par les experts de l’Unité d'expertises I.________. A l’instar du Dr K.________, elle estime que, du point de vue strictement dermatologique, la recourante dispose d’une capacité de travail de 50 % dans une activité adaptée. Cette médecin explique qu’il s’agit de tout type d’activité non-manuelle, telle que réceptionniste, secrétaire, téléphoniste, chauffeure ou photographe, voire une profession dans le domaine de la surveillance ou de la vente en ligne. De plus, avec un traitement médicamenteux systémique, l’assurée pourrait recouvrer une capacité de travail de 80 %, voire 100 % en cas de réponse complète. Or cette médecin a constaté dans son bref rapport du 17 avril 2024 que, après deux injections de Dupixent, sa patiente avait présenté des lésions urticariennes puis une intolérance digestive après la deuxième injection. Cette période avait coïncidé avec un épisode infectieux associé à une rhinoconjonctivite et à de la toux. Dans ces conditions, il était difficile de déterminer si la symptomatologie était en lien uniquement avec le Dupixent ou avec l’épisode infectieux. Quoi qu’il en soit, la Dre W.________ proposait une reprise du traitement de Dupixent à distance de l’épisode infectieux ou, à défaut, la mise en place d’un traitement biologique. cc) Force est de constater que rien au dossier ne permet de retenir que la recourante ne serait pas objectivement en mesure, en particulier pour des motifs dermatologiques, d’exercer une activité lucrative. Le rapport d’expertise de l’Unité d'expertises I.________ du 7 avril 2020, tel que complété sur le plan dermatologique les 7 octobre 2022 et 24 février 2023, emporte la conviction par sa cohérence et les réponses apportées aux avis divergents, ne rencontrant en définitive d’opposition que dans la subjectivité des affirmations de l’assurée quant à son incapacité de travail, et la perplexité de ses médecins traitants de trouver un traitement efficace. Les experts seront dès lors suivis dans leurs conclusions. d) Sur le vu de ce qui précède, il convient de retenir que la capacité de travail dans l’activité habituelle de femme de ménage est nulle depuis le mois de novembre 2015, date de l’aggravation sur les plans dermatologique et rhumatologique. En revanche, dans une activité adaptée aux limitations fonctionnelles retenues, la recourante dispose d’une capacité de travail de 50 %, susceptible d’augmenter à 75, voire 100 %, en fonction de l’évolution et de la réponse clinique au traitement dermatologique mis en œuvre.</w:t>
      </w:r>
    </w:p>
    <w:p>
      <w:r>
        <w:rPr>
          <w:b/>
        </w:rPr>
        <w:t>E. 7</w:t>
      </w:r>
    </w:p>
    <w:p>
      <w:r>
        <w:t>Cela étant constaté, il y a lieu de déterminer le degré d’invalidité de la recourante. a) aa)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de l’assurance-invalidité (ATF 134 V 322 consid. 4.1 ; 129 V 222). bb) En l’occurrence, la recourante a présenté une incapacité totale de travail pour cause de maladie à compter du 26 octobre 2015. Ce changement dans la capacité de travail étant susceptible d’influencer le droit à la rente, c’est à juste titre que l’office intimé a effectué la comparaison des revenus à l’aune des circonstances prévalant en 2016, compte tenu du délai de carence prévu à l’art. 28 al. 1 LAI (cf. aussi considérant 4b ci-dessus). b)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bb) Faute d’être critiqué, le revenu sans invalidité retenu par l’intimé, soit 44'291 fr., peut être confirmé. En effet, il a été fixé sur la base des indications fournies par le dernier employeur de la recourante (cf. questionnaire pour l’employeur complété le 6 mai 2016). c)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cc) Dans la mesure où la recourante n’exerce plus aucune activité lucrative depuis le mois d’octobre 2015, il convient, comme l’a fait l’office intimé, de se baser sur les données salariales statistiques ressortant de l’ESS, ce qui est conforme à la jurisprudence (cf. considérant 7c/bb ci-dessus). Pour fixer le revenu d’invalide, l’intimé s’est fondé sur le revenu auquel peuvent prétendre les femmes effectuant des activités simples et répétitives dans le secteur privé, soit un montant de 4’363 fr. (ESS 2016 ; tableau TA1_skill_level, tous secteurs confondus, niveau de compétences 1, femmes). Compte tenu de la durée hebdomadaire de travail dans les entreprises en 2016 (41,7 heures), ce montant doit être porté à 4'548 fr. 43, correspondant à un salaire annuel de 54'581 fr. 13, ramené à 27'290 fr. 57 au vu d’une capacité de travail de 50 % (cf. considérant 6d ci-dessus).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autre qu’une mise au courant initiale et compatibles avec des limitations fonctionnelles peu contraignantes. dd)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aaa) La recourante fait valoir que ses nombreuses limitations fonctionnelles et sa situation personnelle justifient un abattement de 25 % sur le revenu d’invalide. bbb) Selon la jurisprudence, un taux d’occupation réduit peut être pris en compte pour déterminer l'étendue de l'abattement à opérer sur le salaire statistique d'invalide lorsque le travail à temps partiel se révèle proportionnellement moins rémunéré que le travail à plein temps. Toutefois, le travail à plein temps n'est pas nécessairement proportionnellement mieux rémunéré que le travail à temps partiel; dans certains domaines d'activités, les emplois à temps partiel sont en effet répandus et répondent à un besoin de la part des employeurs, qui sont prêts à les rémunérer en conséquence (ATF 126 V 75 consid. 5a/cc; cf. aussi TF 9C_10/2019 du 29 avril 2019 consid. 5.2.1; 8C_49/2018 du 8 novembre 2018 consid. 6.2.2.2). En particulier, selon les statistiques de l'Enquête suisse sur les salaires, les femmes exerçant une activité à temps partiel ne perçoivent souvent pas un revenu moins élevé proportionnellement à celles qui sont occupées à plein temps (cf., p. ex., TF 9C_373/2019 du 18 juillet 2019 consid. 5.2 ; 9C_629/2017 du 28 novembre 2017 consid. 2; 8C_503/2012 du 3 août 2012 consid. 7; 9C_751/2011 du 30 avril 2012 consid. 4.2.2). Rien ne permet de retenir qu'il en irait différemment dans le cas d'espèce, dès lors que le dossier ne contient aucun élément qui justifierait de s'écarter de la jurisprudence selon laquelle le critère du taux d'occupation partiel n'a en règle générale pas d'influence sur le salaire des femmes. L'intéressée ne prétend au demeurant pas que ce facteur induirait un désavantage salarial. On précisera que l'âge de l'assurée (31 ans au moment du début du droit éventuel à une rente d’invalidité) n'est en l'espèce pas déterminant pour fixer l'abattement et que les limitations liées au handicap – dont les experts de l’Unité d'expertises I.________ ont dressé la liste – ont été prises en considération dans l'évaluation de la capacité de travail. Enfin, des facteurs tels que le manque de formation ou les difficultés linguistiques, ne constituent pas, au regard des activités du niveau de compétences 1 qui lui sont accessibles, des facteurs susceptibles d’avoir une influence sur les perspectives salariales de la recourante, de sorte qu’il n’y a pas lieu d’en tenir compte. ccc) Il s’ensuit que, compte tenu d’une capacité de travail de 50 %, le revenu d’invalide doit être fixé à 27'291 francs. d) La comparaison d’un revenu sans invalidité de 44'291 fr. avec un revenu d’invalide de 27'291 fr. aboutit à un degré d’invalidité (arrondi) de 38 %, insuffisant pour ouvrir droit à une rente de l’assurance-invalidité (cf. art. 28 al. 1 LAI et considérant 4b ci-dessus).</w:t>
      </w:r>
    </w:p>
    <w:p>
      <w:r>
        <w:rPr>
          <w:b/>
        </w:rPr>
        <w:t>E. 8</w:t>
      </w:r>
    </w:p>
    <w:p>
      <w:r>
        <w:t>La recourante fait valoir qu’il n’existerait pas de travail concret adapté à son état de santé (cf. mémoire de recours du 6 juillet 2023, p. 19).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(TFA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du 30 avril 1991 consid. 3b, in RCC 1991 p. 329 ;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(TFA I 377/98 du 28 juillet 1999 consid. 1 et les références, in VSI 1999 p. 246). b) Sur le plan de l’exigibilité, les limitations fonctionnelles mises en évidence par le corps médical (activités en milieu sec, sans contact avec de l’eau, sans contact avec des produits de nettoyage, éviter toute activité professionnelle physiquement lourde, avec maintien d’une position statique prolongée au-delà de 60-75 minutes sans possibilité de varier la position, impliquant le levage répétitif de charges dont le poids ne devrait pas excéder 5 à 7 kg au maximum, ou comportant un stress de rendement) ne présentent pas de spécificités telles qu’elles rendraient illusoire l’exercice d’une activité professionnelle. Le marché du travail (sur cette notion : ATF 110 V 273 consid. 4b ; TF 9C_326/2018 du 5 octobre 2018 consid. 6.2) offre en effet un large éventail d’activités légères, dont on doit convenir qu’un certain nombre sont adaptées aux limitations de la recourante et accessibles sans aucune formation particulière autre qu’une mise au courant initiale. L’office intimé a notamment retenu que la recourante serait en mesure de mettre en valeur sa capacité résiduelle de travail dans une activité simple et répétitive dans le domaine industriel léger (par exemple : montage, contrôle ou surveillance d’un processus de production ; ouvrière à l’établi dans des activités simples et légères ; ouvrière dans le conditionnement ; au niveau administratif dans un service de scannage). Il ressort par ailleurs d’une communication du 24 mai 2023 que l’intéressée pourrait œuvrer dans le domaine de la vente simple (shop et autres), de la conduite, de la surveillance de locaux, notamment gardienne de musée ou de parking, du scannage de documents divers ou du classement de documents, voire en tant que réceptionniste ou dame de compagnie. Dans ce contexte, il n’est pas irréaliste d’admettre qu’il existe un nombre significatif d’activités qui peuvent être exercées par la recourante en dépit de ses limitations fonctionnelles. c) Sur le plan personnel et professionnel, la mise en valeur de la capacité résiduelle de travail de la recourante dans une activité adaptée apparaît également exigible. Âgée de près de 38 ans au moment de la décision litigieuse, la recourante était encore loin d'avoir atteint l'âge à partir duquel la jurisprudence considère généralement qu'il n'existe plus de possibilité réaliste de mise en valeur de la capacité résiduelle de travail sur un marché de l'emploi supposé équilibré (ATF 138 V 457 consid. 3.1, voir également TF 9C_918/2008 du 28 mai 2009 consid. 4.2.2). Cet élément seul ne suffit donc pas à nier le caractère exigible d’une reconversion professionnelle. S’il apparaît certes que l’intéressée ne dispose d’aucune formation professionnelle, il ressort du dossier qu’elle a travaillé de nombreuses années pour le compte de différents employeurs. Elle a donc déjà été confrontée à plusieurs reprises à un changement d’activité au cours de son parcours professionnel et a su faire preuve d’adaptation et de flexibilité. Quant à la question du taux d’activité exigible, celui-ci reste suffisamment élevé pour ne pas constituer un frein en soi.</w:t>
      </w:r>
    </w:p>
    <w:p>
      <w:r>
        <w:rPr>
          <w:b/>
        </w:rPr>
        <w:t>E. 9</w:t>
      </w:r>
    </w:p>
    <w:p>
      <w:r>
        <w:t>Le dossier est complet sur le plan médical avec l’expertise convaincante de l’Unité d'expertises I.________ et ses compléments sur le plan dermatologique, permettant ainsi à la Cour de céans de statuer en toute connaissance de cause. Il n’y a donc pas lieu d’ordonner une mesure d’instruction complémentaire, sous la forme d’une expertise médicale, telle que requise par la recourante. En effet, une telle mesure ne serait pas de nature à modifier les considérations qui précèdent, puisque les faits pertinents ont pu être constatés à satisfaction de droit. Ainsi, quoi qu’en dise la recourante, le dossier constitué ne souffre d’aucune lacune, de sorte que toute mesure d’instruction complémentaire apparaît inutile (appréciation anticipée des preuves : ATF 145 I 167 consid. 4.1 ; 140 I 285 consid. 6.3.1 ; 130 II 425 consid. 2.1).</w:t>
      </w:r>
    </w:p>
    <w:p>
      <w:r>
        <w:rPr>
          <w:b/>
        </w:rPr>
        <w:t>E. 10</w:t>
      </w:r>
    </w:p>
    <w:p>
      <w:r>
        <w:t>En définitive, le recours, mal fondé, doit être rejeté, ce qui entraîne la confirmation de la décision attaquée.</w:t>
      </w:r>
    </w:p>
    <w:p>
      <w:r>
        <w:rPr>
          <w:b/>
        </w:rPr>
        <w:t>E. 11</w:t>
      </w:r>
    </w:p>
    <w:p>
      <w:r>
        <w:t>a) La procédure de recours en matière de contestations portant sur l’octroi ou le refus de prestations de l’assurance-invalidité est soumise à des frais de justice (art. 69 al. 1 bis LAI). Il convient de les fixer à 600 fr. et de les mettre à la charge de la partie recourante, vu le sort de ses conclusions. b)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