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757 vom 9. September 2025</w:t>
      </w:r>
    </w:p>
    <w:p>
      <w:r>
        <w:t>VD Tribunal cantonal, 2025-09-09, FR</w:t>
      </w:r>
    </w:p>
    <w:p>
      <w:r>
        <w:rPr>
          <w:b/>
        </w:rPr>
        <w:t xml:space="preserve">Quelle: </w:t>
      </w:r>
      <w:r>
        <w:t>https://mcp.opencaselaw.ch/entscheid/vd_findinfo_Arr_t___2025___757</w:t>
      </w:r>
    </w:p>
    <w:p>
      <w:r>
        <w:t>FR: VD_FINDINFO Arrêt / 2025 / 757 du 9 septembre 2025</w:t>
      </w:r>
    </w:p>
    <w:p>
      <w:r>
        <w:t>IT: VD_FINDINFO Arrêt / 2025 / 757 del 9 settembre 2025</w:t>
      </w:r>
    </w:p>
    <w:p>
      <w:pPr>
        <w:pStyle w:val="Heading2"/>
      </w:pPr>
      <w:r>
        <w:t>Regeste</w:t>
      </w:r>
    </w:p>
    <w:p>
      <w:r>
        <w:t>CURATELLE DE REPRÉSENTATION AYANT POUR OBJET LA GESTION DU PATRIMOINE, CURATELLE DE REPRÉSENTATION{ART. 394 CC} | 394 al. 1 CC, 394 CC, 395 al. 1 CC, 395 CC, 450 CC</w:t>
      </w:r>
    </w:p>
    <w:p>
      <w:pPr>
        <w:pStyle w:val="Heading2"/>
      </w:pPr>
      <w:r>
        <w:t>Erwägungen</w:t>
      </w:r>
    </w:p>
    <w:p>
      <w:r>
        <w:rPr>
          <w:b/>
        </w:rPr>
        <w:t>E. 1.1</w:t>
      </w:r>
    </w:p>
    <w:p>
      <w:r>
        <w:t>Le recours est dirigé contre une décision de la justice de paix instituant une curatelle de représentation et de gestion au sens des art. 394 al. 1 et 395 al. 1 CC en faveur de la recourante.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I, Art. 1­456 CC, 7 e éd., Bâle 2022 [ci-après : BSK Zivilgesetzbuch I], n. 42 ad art. 450 ZGB,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I, op. cit., n. 7 ad art. 450a CC, p. 2943 ; TF 5C 1/2018 du 8 mars 2019 consid. 5.1).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le corps de la lettre qui forme l'acte de recours ne contient aucune demande, sinon celle par laquelle la recourante sollicite d’être renseignée sur « le montant de la franchise prévue dans [s]on contrat » . Seul le titre de la lettre, intitulé « opposition contre Mme E.________ pour une curatelle » , manifeste la volonté de la recourante de voir modifier le dispositif de la décision attaquée. Cependant, on peine à comprendre si la recourante entend ainsi demander qu'il soit renoncé à l'instauration d'une curatelle ou si elle demande seulement la désignation comme curatrice d'une autre personne qu'E.________. Il n'est toutefois pas nécessaire d'interpeller la recourante sur ce point dès lors, d’une part, que l’on comprend suffisamment qu’elle estime que la curatelle et l’intervention d’une curatrice sont inutiles compte tenu du fait qu’elle est autonome et qu’elle bénéficie déjà de l’aide de personnes privées et, d’autre part, que les griefs de la recourante doivent de toute manière être rejetés (cf. infra consid. 3). Pour le surplus, le recours a été interjeté par écrit et en temps utile par la personne concernée. Il comporte quelques critiques reconnaissables contre l'état de fait retenu par la justice de paix et la mesure instituée. Il est dès lors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2018 consid. 4.3.1 et les références citées). L'établissement d'un rapport d'expertise n'est pas un préalable nécessaire pour ordonner l'instauration d'une curatelle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Art. 360-456 CC, 2 e éd., Bâle 2022, n. 209, p. 1 10).</w:t>
      </w:r>
    </w:p>
    <w:p>
      <w:r>
        <w:rPr>
          <w:b/>
        </w:rPr>
        <w:t>E. 2.3</w:t>
      </w:r>
    </w:p>
    <w:p>
      <w:r>
        <w:t>En l'espèce, lors de l’audience du 3 juin 2025, la juge de paix a procédé à l’audition de la recourante, de sorte que son droit d’être entendue a été respecté. En outre, la décision attaquée ne privant pas la recourante de l'exercice des droits civils, le rapport médical versé au dossier est suffisant.</w:t>
      </w:r>
    </w:p>
    <w:p>
      <w:r>
        <w:rPr>
          <w:b/>
        </w:rPr>
        <w:t>E. 3</w:t>
      </w:r>
    </w:p>
    <w:p>
      <w:r>
        <w:t>e éd., Lausanne 2002, nn. 3 et 4 ad art. 492 CPC-VD, p. 763, point de vue qui demeure valable sous l'empire du nouveau droit.</w:t>
      </w:r>
    </w:p>
    <w:p>
      <w:r>
        <w:rPr>
          <w:b/>
        </w:rPr>
        <w:t>E. 3.1</w:t>
      </w:r>
    </w:p>
    <w:p>
      <w:r>
        <w:t>La recourante conteste avoir besoin d’une curatelle. Par une annotation de la copie de la décision attaquée qu'elle a produite avec son recours, la recourante s'en prend tout d’abord aux constatations des premiers juges selon lesquelles elle serait aidée dans la gestion de ses affaires par W.________ et F.________. Ensuite, en se fondant sur le « brillant résultat » - selon ses termes – du test qu'elle a passé le 1 er juillet 2025, elle conteste ses problèmes neurologiques. Elle expose s'être rendu compte, lors de sa rencontre du 17 juillet 2025 avec la curatrice désignée, que plus celle-ci lui donnait des explications, moins elle comprenait pourquoi elle aurait besoin de soutien, étant toujours autonome. Enfin, elle formule quelques critiques contre le comportement de la curatrice à un entretien du 17 juillet 2025.</w:t>
      </w:r>
    </w:p>
    <w:p>
      <w:r>
        <w:rPr>
          <w:b/>
        </w:rPr>
        <w:t>E. 3.2.1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388 al. 2 et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5A_956/2021 du 20 décembre 2021 consid. 5.1 et les références citées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2C_451/2020 du 9 juin 2021 consid. 8.1.1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(TF 2C_451/2020 du 9 juin 2021 consid. 8.1.1 ;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TF 5A_995/2022 du 27 juillet 2023 consid. 4 ; TF 5A_551/2021 du 7 décembre 2021 consid. 4.1.1 ; TF 5A_417/2018 du 17 octobre 2018 consid. 4.2.1, in : SJ 2019 I 127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TF 5A_567/2023 du 24 janvier 2024 consid. 3.1.3 ; TF 5A_417/2018 du 17 octobre 2018 consid. 4.2.1, in SJ 2019 I 127). Cette mesure doit donc se trouver en adéquation avec le but fixé, représenter l'atteinte la plus faible possible pour être compatible avec celui-ci et rester dans un rapport raisonnable entre lui et l'atteinte engendrée (TF 5A_567/2023 du 25 janvier 2024 consid. 3.1.1 et les références citées ; TF 5A_551/2021 du 7 décembre 2021 consid. 4.1.1 ; TF 5A 417/2018 du 17 octobre 2018 consid. 4.2.1, in SJ 2019 I 127 ; TF SA 844/2017 du 15 mai 2018 consid. 3.1). En bref, l'autorité de protection de l'adulte doit suivre le principe suivant : « assistance étatique autant que besoin est, et intervention étatique aussi rare que possible »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TF 5A_192/2018 du 30 avril 2018 consid. 3.1).</w:t>
      </w:r>
    </w:p>
    <w:p>
      <w:r>
        <w:rPr>
          <w:b/>
        </w:rPr>
        <w:t>E. 3.3</w:t>
      </w:r>
    </w:p>
    <w:p>
      <w:r>
        <w:t>En l’espèce, il est constant que la recourante présente une cause et une condition de curatelle. Selon le rapport médical du 16 mai 2025, dont il n'y a aucune raison de s'écarter, il est indiqué que le bilan neuropsychologique établi le 24 avril 2025 par les Drs et Z.________ et D.________ avait mis en évidence un dysfonctionnement exécutif, comportemental, émotionnel et, dans une moindre mesure, cognitif, associé à une nosognosie partielle des troubles cognitifs et de leur impact sur le fonctionnement au quotidien. Ces médecins ont également relevé que la recourante présentait, au moment de son hospitalisation – dans le contexte notamment d’une fracture du fémur droit occasionnée ensuite d’une chute – une dénutrition sévère et une bronchopneumopathie chronique. Ils ont considéré que la baisse de son état général occasionnait chez la recourante une limitation de la capacité de gestion de ses affaires administratives et financières de manière conforme à ses intérêts, ce qui posait l’indication de l’instauration d’une mesure de protection en sa faveur. Compte tenu de ces constatations, le bon résultat obtenu par la recourante lors d’un test cognitif du 1 er juillet 2025 (29 points obtenus sur 30) ne remet pas fondamentalement en cause l'appréciation des médecins qui ont établi le bilan neuropsychologique précité. La constatation du dysfonctionnement mentionné est par ailleurs aussi fondée sur le comportement adopté plusieurs mois durant par la recourante, qui refusait l'intervention du CMS à son domicile ou celle d'un cuisiniste pour réparer ses plaques de cuisson. Les motifs avancés par la recourante pour expliquer ces refus ne convainquent pas dès lors que le coût de la réparation des plaques était à la charge du bailleur et que l'on ne discerne pas quel dérangement cela aurait causé à la recourante d'attendre chez elle l'arrivée des intervenants du CMS. Quant au motif d'économie invoqué pour expliquer l'absence d'utilisation du lave-linge, il est des plus inquiétants et indique, avec les autres éléments déjà mentionnés, si ce n'est un trouble psychique, à tout le moins un état de faiblesse. Il est par ailleurs clair que la recourante a besoin d'être protégée puisqu'elle n'est pas capable de gérer l'ensemble de ses affaires administratives et financières de manière conforme à ses intérêts. La recourante a été hospitalisée pendant plusieurs semaines et, de ce fait, était fragilisée. Ne pouvant retourner en l’état à domicile, elle a dû intégrer un EMS. Sa situation apparaît donc précaire. En raison de ses fragilités, les médecins ont suggéré à la recourante d’obtenir de l’aide pour la gestion de ses affaires administratives et financières. Si la recourante affirme qu’elle a payé toutes ses factures, elle a aussi admis ne pas avoir rempli sa déclaration d’impôts 2024 et a expliqué préférer faire l’objet d’une taxation d’office, plutôt que de devoir s’expliquer à nouveau auprès de l’ACI. Elle est donc susceptible de prendre des décisions contraires à ses intérêts. De même, la recourante n’a pas non plus été en mesure de s’expliquer sur ses ressources financières, ni être totalement au fait quant à ses rentes et devoir « téléphoner aux impôts (sic) » pour connaître la nature de sa rente (LPP ou privée). Enfin, on ne saurait exclure que la recourante puisse encore être influencée par des tiers de manière préjudiciable à ses intérêts. Elle a notamment déclaré avoir fourni une procuration sur ses comptes bancaires à un ami de longue date, ami en qui elle affirme avoir entière confiance mais dont elle refuse pourtant qu’il soit contacté par l’autorité de protection, exposant qu’il serait « gravement malade » . Ces éléments démontrent que la recourante n’est pas en mesure d’obtenir auprès de personnes privées une aide adéquate. A cet égard, la recourante a d’ailleurs aussi contesté, dans son recours, être aidée par des tiers comme retenu dans la décision attaquée, expliquant que si elle avait besoin d’argent, elle passait elle-même auprès de la banque. Or il s’avère qu’elle a signé le procès-verbal de l'audience du 3 juin 2025 sur lequel il est inscrit qu'elle a indiqué avoir l’aide de F.________ et d’W.________. C'est dès lors en vain qu'elle conteste les constatations de fait correspondantes des premiers juges, étant ajouté que les déclarations contradictions de la recourante tendent à confirmer ses difficultés et son besoin d’assistance pour la gestion de ses affaires. Il résulte de ce qui précède qu’au vu des troubles neurocognitifs et de l’état de faiblesse présentés par la recourante et de leur impact sur son quotidien, ainsi que de sa situation de vulnérabilité, la curatelle de représentation et de gestion instituée est en l’état indispensable et proportionnée, de sorte qu'elle doit être confirmée.</w:t>
      </w:r>
    </w:p>
    <w:p>
      <w:r>
        <w:rPr>
          <w:b/>
        </w:rPr>
        <w:t>E. 3.4</w:t>
      </w:r>
    </w:p>
    <w:p>
      <w:r>
        <w:t>Concernant la désignation ad personam de la curatrice, E.________, la recourante soulève peu de griefs. Elle lui reproche d'être arrivée pour la voir à l'EMS le 17 juillet 2025 à 15h00, alors qu'elle avait annoncé qu'elle arriverait vers 15h45, et le fait d'avoir « trouvé étrange » que la recourante ait un compte bancaire en Suisse alémanique. Aucun de ces griefs, à les supposer fondés en fait, ne justifierait la désignation d'une autre personne en qualité de curatrice. On ne saurait, sans autres conditions, reprocher à la curatrice d'être arrivée en avance à un rendez-vous, ni d'avoir manifesté de la surprise lorsqu'elle a appris que la personne protégée, qui habite à [...], a un compte bancaire en [...]. En tout état de cause, eu égard à la situation de la recourante (cf. supra consid. 3.3), l’assistance d’un curateur privé s’avère justifiée.</w:t>
      </w:r>
    </w:p>
    <w:p>
      <w:r>
        <w:rPr>
          <w:b/>
        </w:rPr>
        <w:t>E. 4</w:t>
      </w:r>
    </w:p>
    <w:p>
      <w:r>
        <w:t>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Mme Y.________, ‑ Mme E.________, et communiqué à : ‑ Mme la Juge de paix du district de la Riviera-Pays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