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701 vom 27. August 2025</w:t>
      </w:r>
    </w:p>
    <w:p>
      <w:r>
        <w:t>VD Tribunal cantonal, 2025-08-27, FR</w:t>
      </w:r>
    </w:p>
    <w:p>
      <w:r>
        <w:rPr>
          <w:b/>
        </w:rPr>
        <w:t xml:space="preserve">Quelle: </w:t>
      </w:r>
      <w:r>
        <w:t>https://mcp.opencaselaw.ch/entscheid/vd_findinfo_Arr_t___2025___701</w:t>
      </w:r>
    </w:p>
    <w:p>
      <w:r>
        <w:t>FR: VD_FINDINFO Arrêt / 2025 / 701 du 27 août 2025</w:t>
      </w:r>
    </w:p>
    <w:p>
      <w:r>
        <w:t>IT: VD_FINDINFO Arrêt / 2025 / 701 del 27 agosto 2025</w:t>
      </w:r>
    </w:p>
    <w:p>
      <w:pPr>
        <w:pStyle w:val="Heading2"/>
      </w:pPr>
      <w:r>
        <w:t>Regeste</w:t>
      </w:r>
    </w:p>
    <w:p>
      <w:r>
        <w:t>VOLONTÉ, ADMISSION DE LA DEMANDE, CURATELLE D'ACCOMPAGNEMENT, SUPPRESSION{EN GÉNÉRAL} | 393 CC, 393 ch. 1 CC, 450 CC</w:t>
      </w:r>
    </w:p>
    <w:p>
      <w:pPr>
        <w:pStyle w:val="Heading2"/>
      </w:pPr>
      <w:r>
        <w:t>Erwägungen</w:t>
      </w:r>
    </w:p>
    <w:p>
      <w:r>
        <w:rPr>
          <w:b/>
        </w:rPr>
        <w:t>E. 1.1</w:t>
      </w:r>
    </w:p>
    <w:p>
      <w:r>
        <w:t>Le recours est dirigé contre une décision de la justice de paix instituant une curatelle d’accompagnement en faveur de la recourante (art. 393 al. 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28 juillet 2023/143).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I, Art. 1­456 CC, 7 e éd., Bâle 2022 [ci-après : BSK Zivilgesetzbuch I], n. 42 ad art. 450 ZGB,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I, op. cit., n. 7 ad art. 450a CC, p. 2943 ; TF 5C 1/2018 du 8 mars 2019 consid. 5.1).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la personne concernée, concernée par la curatelle et qui a donc qualité pour recourir, le recours est recevable. Il en va de même des pièces produites en deuxième instance, si tant est qu’elles ne figurent pas déjà au dossier. La justice de paix a indiqué qu’elle renonçait à se déterminer et qu’elle se référait au contenu de la décision entreprise.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lors de l’audience du 11 octobre 2024, la juge de paix a procédé à l’audition de la personne concernée ainsi que deux assistantes sociales de la DGEJ, de sorte que le droit d’être entendu de la recourante a été respecté.</w:t>
      </w:r>
    </w:p>
    <w:p>
      <w:r>
        <w:rPr>
          <w:b/>
        </w:rPr>
        <w:t>E. 3.1</w:t>
      </w:r>
    </w:p>
    <w:p>
      <w:r>
        <w:t>La recourante fait valoir qu’elle obtient un soutien suffisant de ses parents, en particulier de son père, et d’une assistante sociale du CSR pour gérer ses affaires administratives, ce qui rend la curatelle superflue. Elle ajoute qu’elle avait consenti, lors de l’audience du 11 octobre 2024, à une aide par une curatelle en pensant que celle-ci se limiterait à des démarches professionnelles comme la recherche d’un apprentissage, mais que la décision qui inclut des domaines comme la santé, le logement et la gestion financière dépasse largement ce qu’elle avait envisagé et ne correspond pas à ses besoins. Elle relève qu’elle s’est inscrite à des cours chez U.________ à [...] pour préparer sa recherche d’apprentissage et qu’elle a déposé une demande pour une bourse d’études. Elle soutient qu’elle est autonome, capable de s’organiser et d’avancer dans son projet de vie sans l’intervention d’une curatrice, ajoutant qu’il n’y aurait au demeurant pas de preuves concrètes de son incapacité à gérer.</w:t>
      </w:r>
    </w:p>
    <w:p>
      <w:r>
        <w:rPr>
          <w:b/>
        </w:rPr>
        <w:t>E. 3.2.1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388 al. 2 et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5A_956/2021 du 20 décembre 2021 consid. 5.1 et les références citées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2C_451/2020 du 9 juin 2021 consid. 8.1.1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(TF 2C_451/2020 du 9 juin 2021 consid. 8.1.1 ;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TF 5A_995/2022 du 27 juillet 2023 consid. 4 ; TF 5A_551/2021 du 7 décembre 2021 consid. 4.1.1 ; TF 5A_417/2018 du 17 octobre 2018 consid. 4.2.1, in : SJ 2019 I 127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TF 5A_567/2023 du 24 janvier 2024 consid. 3.1.3 ; TF 5A_417/2018 du 17 octobre 2018 consid. 4.2.1, in SJ 2019 I 127). Cette mesure doit donc se trouver en adéquation avec le but fixé, représenter l'atteinte la plus faible possible pour être compatible avec celui-ci et rester dans un rapport raisonnable entre lui et l'atteinte engendrée (TF 5A_567/2023 du 25 janvier 2024 consid. 3.1.1 et les références citées ; TF 5A_551/2021 du 7 décembre 2021 consid. 4.1.1 ; TF 5A 417/2018 du 17 octobre 2018 consid. 4.2.1, in SJ 2019 I 127 ; TF SA 844/2017 du 15 mai 2018 consid. 3.1). En bref, l'autorité de protection de l'adulte doit suivre le principe suivant : « assistance étatique autant que besoin est, et intervention étatique aussi rare que possible » (ATF 140 III 49).</w:t>
      </w:r>
    </w:p>
    <w:p>
      <w:r>
        <w:rPr>
          <w:b/>
        </w:rPr>
        <w:t>E. 3.2.3</w:t>
      </w:r>
    </w:p>
    <w:p>
      <w:r>
        <w:t>En vertu de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(TF 5A_702/2013 du 10 décembre 2013 consid. 4.4, non publié in ATF 140 III 49, mais résumé in : Revue de la protection des mineurs et des adultes [RMA] 2014, p. 133 ; Leuba, in Pichonnaz/Foëx/Fountoulakis [édit.], Code civil I, Art. 1-456 CC, 2 e éd., Bâle 2024 [ci-après : CR CC I], nn. 7 et 8 ad art. 393 CC, p. 2803 ; Meier, CommFam, op. cit., nn. 6 et 7 ad art. 393 CC, p. 424). Le rôle de la curatelle d'accompagnement est de pur soutien : le curateur n'est pas investi d'un pouvoir de représentation ou de gestion. Il doit fournir conseils, aide, mise en contact et encouragements, mais il n'a pas de pouvoir coercitif (Leuba, CR CC I, op. cit., nn. 14 ss ad art. 393 CC, p. 2804). Il n'a pas non plus à établir un inventaire ou des comptes, ni à requérir le consentement de l'autorité de protection pour les actes de l'art. 416 al. 1 CC (Guide pratique COPMA 2012, n. 5.10, p. 138, nn. 5.23 et 5.25, p. 143 ; Meier, CommFam, nn. 17, 18 et 20 ad art. 393 CC, pp. 428 ss). Le consentement de la personne concernée est révocable en tout temps (Meier, Droit de la protection de l'adulte, op. cit., nn. 800 ss pp. 397-398). Si la révocation intervient ultérieurement à la décision d’instituer la curatelle, elle doit être interprétée comme une requête de levée de la curatelle d’accompagnement ; l’autorité de protection est tenue d’accepter cette requête à moins qu’elle n’obtienne un renouvellement du consentement en modifiant le contenu de la curatelle. Lorsque la curatelle d’accompagnement est levée, l’autorité doit examiner si un cas de curatelle existe encore et, dans l’affirmative, imposer à la personne un autre type de curatelle ou prendre elle-même les mesures qui sont nécessaires (Leuba, CR CC I, op. cit., n. 12 ad art. 393 CC, p. 2804 et les références citées ; Steinauer/ Foutnoulakis, Droit des personnes physiques et de la protection de l'adulte, Berne 2014, n. 141a pp. 46-47).</w:t>
      </w:r>
    </w:p>
    <w:p>
      <w:r>
        <w:rPr>
          <w:b/>
        </w:rPr>
        <w:t>E. 3.3</w:t>
      </w:r>
    </w:p>
    <w:p>
      <w:r>
        <w:t>En l’espèce, la recourante, née le [...] 2006, a accédé à la majorité il y a un peu plus d’une année. Un signalement avait été fait en novembre 2023 en raison du contexte familial dans lequel elle évoluait, notamment en lien avec la fermeture de ses parents envers le monde extérieur, et une enquête en limitation de l’autorité parentale avait été ouverte par la justice de paix concernant X.________ et sa sœur. En effet, l’idéologie des parents avait suscité de vives inquiétudes concernant le bon développement des enfants qui étaient scolarisées à domicile, « isolées, coupées de la société et endoctrinées » . La collaboration avec les parents s’était révélée impossible dans le cadre de l’enquête. Compte tenu de mises en danger, la recourante et sa sœur cadette ont en outre été placées, étant précisé que si X.________ est retournée à domicile peu avant sa majorité, I.________ demeure en foyer et une expertise pédopsychiatrique a été ordonnée. Lors du placement en foyer, la DGEJ a centré son intervention sur la transition à l’âge adulte de la recourante, son insertion sociale et professionnelle et son autonomisation. A cet égard, il a été constaté que le recourante était impactée par les croyances de ses parents et le carcan familial. En particulier, il a fallu l’accompagner pour se déplacer en transports publics, effectuer des activités, prendre des rendez-vous avec Z.________ et au CSR afin de lui garantir le minimum vital et constituer un projet d’avenir. La recourante a adopté une attitude désengagée en ce sens notamment que lorsqu’elle avait appris qu’elle pourrait rentrer à domicile, la recourante avait laissé tomber les démarches pour intégrer A.________ et n’avait même pas souhaiter retirer formellement son inscription de l’école, n’y voyant pas le sens pas et étant confortée par ses parents dans son positionnement. Elle a enfin montré une méfiance vis-à-vis de la société. Ainsi, force est de considérer que la situation de la recourante est inquiétante. Elle n’a aucune connaissance du système et ses parents, supposés l’aider d’après les moyens soulevés à l’appui du recours, sont réfractaires à toutes les mesures de soutien qui pourraient lui être proposées. La DGEJ – toujours en charge de la sœur cadette – a relevé qu’il était difficile de déterminer les compétences parentales et a demandé une expertise pédopsychiatrique de même qu’une évaluation en raison de risques liés aux idéologies des parents, en lien notamment avec des risques d’un non-retour à l’école, d’enlèvement d’enfant ou d’un éventuel suicide collectif. Il a également été relevé que les deux filles semblaient entravées de toute possibilité d’autodétermination et pourraient s’exposer à un risque si elles adoptaient leur propre système de pensées ; de plus, il n’y a pas eu de suivi médical et leur éducation a été carencée s’agissant de tout ce qui concerne les relations affectives. La DGEJ a estimé qu’il existait des risques que les parents contrôlent les aspects administratifs de leur fille. A ce rapport alarmant de la DGEJ, s’ajoute l’audition de la recourante à l’audience de la juge de paix du 11 octobre 2024, alors accompagnée de deux assistantes sociales de la DGEJ. Il en ressort que la recourante n’a d’intérêt ni pour la vie professionnelle, ni pour ses affaires administratives. Elle s’est par ailleurs déclarée preneuse d’aide pour la gestion de ses affaires administratives, pour l’accompagner et lui proposer des activités dans l’optique de mieux intégrer la société, si bien que les moyens soulevés à l’appui du recours sont étonnants et pourraient en réalité tout aussi bien révéler l’absence d’autonomie de la recourante. Quant aux pièces produites, elles ne suffisent pas à rassurer. La recourante est bénéficiaire du RI grâce aux démarches entreprises par la DGEJ, mais le dossier nécessite d’être suivi. S’agissant de ses activités occupationnelles, le programme « M.________ » correspond à huit leçons de 45 à 60 minutes sur un an, soit l’équivalent d’une journée. Cela ne sera pas suffisant pour réintégrer la société et démontre plutôt que la recourante a encore de grands progrès à faire. La politique des parents de respecter son rythme pourrait être délétère. Au vu des éléments qui précèdent, et comme le montre l’évaluation de la DGEJ, la recourante, jeune adulte, habitant encore chez ses parents, est dans une situation de faiblesse et très inexpérimentée, de sorte qu’elle a besoin d’aide pour la gestion de ses affaires administratives, ce qu’elle admet d’ailleurs, ainsi que pour construire des projets de vie, professionnels ou autres. Dépourvue de toute pensée autonome et enfermée dans un système familial qui suscite de vives inquiétudes auprès des professionnels, il est indispensable qu’un tiers, extérieur à la famille, puisse accompagner la recourante dans son autonomisation et dans ses premiers pas en tant qu’adulte. Dès lors que la situation inquiète passablement et qu’une expertise pédopsychiatrique est en cours s’agissant de sa sœur, il paraîtrait opportun que l’expertise soit versée dans la présente procédure, dans le respect des droits de chacun, pour évaluer la mesure de curatelle la plus adéquate en faveur de X.________ et que l’on puisse s’assurer que la recourante soit suffisamment protégée et qu’elle prenne les bonnes décisions s’agissant de sa santé, de son avenir et de son lieu de vie. Cela étant, concernant la curatelle d’accompagnement litigieuse, force est de considérer qu’elle ne peut être instituée qu’avec le consentement de la personne concernée, ce qui avait été le cas lors de l’audience de la justice de paix du 11 octobre 2024. Toutefois, à l’appui de son recours, X.________ a contesté avoir besoin de cette mesure et a révoqué son accord à celle-ci. Le consentement étant révocable en tout temps, une telle manifestation de volonté en cours de curatelle vaut demande de mainlevée, à laquelle il doit être fait droit. Il en résulte que la curatelle d’accompagnement instituée ne peut pas être maintenue à ce stade et qu’il y a lieu d’ouvrir une enquête en institution d’une autre curatelle, voire de prendre les mesures nécessaires, eu égard aux éléments d’inquiétudes sus-évoqués.</w:t>
      </w:r>
    </w:p>
    <w:p>
      <w:r>
        <w:rPr>
          <w:b/>
        </w:rPr>
        <w:t>E. 4</w:t>
      </w:r>
    </w:p>
    <w:p>
      <w:r>
        <w:t>En conclusion, le recours est admis, la décision entreprise annulée et le dossier renvoyé à la justice de paix pour qu’elle procède dans le sens des considérants. L’arrêt est rendu sans frais judiciaires de deuxième instance (art. 74a al. 4 TFJC [tarif du 28 septembre 2010 des frais judiciaires civils ; BLV 270.11.5]). Par ces motifs, la Chambre des curatelles du Tribunal cantonal, statuant à huis clos, prononce : I. Le recours est admis. II. La décision rendue le 1 er novembre 2024 par la Justice de paix du district de Nyon est annulée et le dossier de la cause est renvoyé à cette autorité pour qu’elle ouvre une enquête en institution d’une curatelle à l’égard de X.________. III. L’arrêt est rendu sans frais judiciaires de deuxième instance. La présidente : La greffière : Du L'arrêt qui précède, dont la rédaction a été approuvée à huis clos, est notifié à : ‑ Mme X.________, ‑ Mme Q.________,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