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697 vom 11. August 2025</w:t>
      </w:r>
    </w:p>
    <w:p>
      <w:r>
        <w:t>VD Tribunal cantonal, 2025-08-11, FR</w:t>
      </w:r>
    </w:p>
    <w:p>
      <w:r>
        <w:rPr>
          <w:b/>
        </w:rPr>
        <w:t xml:space="preserve">Quelle: </w:t>
      </w:r>
      <w:r>
        <w:t>https://mcp.opencaselaw.ch/entscheid/vd_findinfo_Arr_t___2025___697</w:t>
      </w:r>
    </w:p>
    <w:p>
      <w:r>
        <w:t>FR: VD_FINDINFO Arrêt / 2025 / 697 du 11 août 2025</w:t>
      </w:r>
    </w:p>
    <w:p>
      <w:r>
        <w:t>IT: VD_FINDINFO Arrêt / 2025 / 697 del 11 agosto 2025</w:t>
      </w:r>
    </w:p>
    <w:p>
      <w:pPr>
        <w:pStyle w:val="Heading2"/>
      </w:pPr>
      <w:r>
        <w:t>Regeste</w:t>
      </w:r>
    </w:p>
    <w:p>
      <w:r>
        <w:t>MESURE PROVISIONNELLE, CURATELLE DE REPRÉSENTATION AYANT POUR OBJET LA GESTION DU PATRIMOINE, CURATELLE DE REPRÉSENTATION{ART. 394 CC}, NÉCESSITÉ, PROTECTION DE L'ADULTE, REJET DE LA DEMANDE | 390 CC, 394 al. 1 CC, 395 al. 1 CC, 445 CC</w:t>
      </w:r>
    </w:p>
    <w:p>
      <w:pPr>
        <w:pStyle w:val="Heading2"/>
      </w:pPr>
      <w:r>
        <w:t>Erwägungen</w:t>
      </w:r>
    </w:p>
    <w:p>
      <w:r>
        <w:rPr>
          <w:b/>
        </w:rPr>
        <w:t>E. 1.1</w:t>
      </w:r>
    </w:p>
    <w:p>
      <w:r>
        <w:t>Le recours est dirigé contre une ordonnance de mesures provisionnelles du juge de paix instituant une curatelle provisoire de représentation et de gestion au sens des art. 394 al. 1 et 395 al. 1 CC en faveur du recourant et confiant ce mandant à une curatrice du SCTP.</w:t>
      </w:r>
    </w:p>
    <w:p>
      <w:r>
        <w:rPr>
          <w:b/>
        </w:rPr>
        <w:t>E. 1.2.1</w:t>
      </w:r>
    </w:p>
    <w:p>
      <w:r>
        <w:t>Le recours de l'art. 450 CC est ouvert à la Chambre des curatelles (art. 8 LVPAE [loi du 29 mai 2012 d'application du droit fédéral de la protection de l'adulte et de l'enfant ; BLV 211.255] et 76 al. 2 LOJV [loi d'organisation judiciaire du 12 décembre 1979 ; BLV 173.011]) contre toute décision relative aux mesures provisionnelles (Droese, in Geiser/Fountoulakis [édit.], Basler Kommentar, Zivilgesetzbuch I, Art. 1-456 CC, 7 e éd., Bâle 2022 [ci-après : BSK ZGB I], n. 21 ad art. 450 CC, p. 2932) dans les dix jours dès la notification de la décision (art. 445 al. 3 CC ; cf. notamment CCUR 1 er mai 2025/81).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1, 20 al. 1 LVPAE et 450f CC ; ATF 140 III 167 consid. 2.3 ; CCUR 25 juillet 2022/127).</w:t>
      </w:r>
    </w:p>
    <w:p>
      <w:r>
        <w:rPr>
          <w:b/>
        </w:rPr>
        <w:t>E. 1.2.2</w:t>
      </w:r>
    </w:p>
    <w:p>
      <w:r>
        <w:t>L'art. 446 al. 1 CC prévoit que l'autorité de protection établit les faits d'office. L'art. 229 al. 3 CPC étant applicable devant cette autorité, les faits et moyens de preuve nouveaux sont admis jusqu'aux délibérations. Cela vaut aussi en deuxième instance (Droese, BSK ZGB I, op. cit. , n. 7 ad art. 450a CC, p. 2943 ; TF 5C_1/2018 du 8 mars 2019 consid. 5.1). En matière de protection de l'adulte et de l'enfant, la maxime inquisitoire illimitée est applicable, de sorte que les restrictions posées par l'art. 317 CPC pour l'introduction de faits ou moyens de preuve nouveaux sont inapplicables ( cf. JdT 2011 III 43 ; CCUR 26 juin 2025/121 ; CCUR 27 juillet 2020/151).</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Selon les situations, le recours sera par conséquent réformatoire ou cassatoire (Guide pratique COPMA 2012, op. cit. , n. 12.39, p. 290). Conformément à l'art. 450d CC, la Chambre des curatelles donne à la justice de paix l'occasion de prendre position (al. 1), cette autorité pouvant, au lieu de prendre position, reconsidérer sa décision (al. 2). Lorsque le recours est manifestement mal fondé, l'autorité de recours peut renoncer à consulter l'autorité de protection de l'adulte (Reusser, BSK ZGB I, op. cit. , nn. 6 ss ad art. 450d CC, p. 2957).</w:t>
      </w:r>
    </w:p>
    <w:p>
      <w:r>
        <w:rPr>
          <w:b/>
        </w:rPr>
        <w:t>E. 1.3</w:t>
      </w:r>
    </w:p>
    <w:p>
      <w:r>
        <w:t>En l’espèce, interjeté en temps utile par la personne concernée, partie à la procédure, le présent recours est sommairement motivé. Au vu de sa teneur, la recevabilité du recours apparaît douteuse. Cette question peut néanmoins demeurer indécise en raison des considérants qui suivent. Le recours étant manifestement infondé, comme cela sera développé ci-après, il a été renoncé à consulter l’autorité de protection et la curatrice provisoire n’a pas été invitée à se déterminée.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w:t>
      </w:r>
    </w:p>
    <w:p>
      <w:r>
        <w:rPr>
          <w:b/>
        </w:rPr>
        <w:t>E. 2.2</w:t>
      </w:r>
    </w:p>
    <w:p>
      <w:r>
        <w:t>La procédure devant l'autorité de protection est régie par les art. 443 ss CC. La personne concernée doit être entendue personnellement, à moins que l'audition personnelle ne paraisse disproportionnée (art. 447 al. 1 CC).</w:t>
      </w:r>
    </w:p>
    <w:p>
      <w:r>
        <w:rPr>
          <w:b/>
        </w:rPr>
        <w:t>E. 2.3</w:t>
      </w:r>
    </w:p>
    <w:p>
      <w:r>
        <w:t>Le juge de paix a procédé à l’audition d’Y.________ lors de son audience du 21 mars 2025, de sorte que le droit d’être entendu du recourant a été respecté. N.________, accompagnateur social de la Fondation [...], a également été entendu lors de cette audience. L’ordonnance entreprise étant formellement correcte, elle peut être examinée sur le fond.</w:t>
      </w:r>
    </w:p>
    <w:p>
      <w:r>
        <w:rPr>
          <w:b/>
        </w:rPr>
        <w:t>E. 3</w:t>
      </w:r>
    </w:p>
    <w:p>
      <w:r>
        <w:t>e éd., Lausanne 2002, nn. 3 et 4 ad art. 492 CPC-VD, p. 763, point de vue qui demeure valable sous l'empire du nouveau droit.</w:t>
      </w:r>
    </w:p>
    <w:p>
      <w:r>
        <w:rPr>
          <w:b/>
        </w:rPr>
        <w:t>E. 3.1</w:t>
      </w:r>
    </w:p>
    <w:p>
      <w:r>
        <w:t>Le recourant fait valoir, en substance, qu’il a simplement demandé une chambre aux services sociaux et qu’il est en mesure d’assumer seul ses recherches d’appartement et d’emploi, ainsi que ses affaires administratives.</w:t>
      </w:r>
    </w:p>
    <w:p>
      <w:r>
        <w:rPr>
          <w:b/>
        </w:rPr>
        <w:t>E. 3.2.1</w:t>
      </w:r>
    </w:p>
    <w:p>
      <w:r>
        <w:t>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et une condition de curatelle (besoin de protection particulier) doivent être réunies pour justifier le prononcé d’une curatelle. C'est l'intensité du besoin qui déterminera l'ampleur exacte de la protection à mettre en place (Meier, Droit de la protection de l'adulte, 2 e éd., Genève/Zurich 2022,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 n. 720, pp. 398 et 399). Par « troubles psychiques », on entend toutes les pathologies mentales reconnues en psychiatrie, soit les psychoses et les psychopathies ayant des causes physiques ou non, les démences, ainsi que les dépendances telles que la toxicomanie, l'alcoolisme ou la pharmacodépendance (Meier, Droit de la protection de l'adulte, op. cit. , n. 722, p. 399 ; Guide pratique COPMA 2012, op. cit. , n. 5.9, p. 137 et n. 10.6, p. 245 ; TF 5A_374/2018 du 25 juin 2018 consid. 4.2.1).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(Meier, Commentaire du droit de la famille, Protection de l'adulte, Berne 2013 [ci-après : CommFam], nn. 16 et 17, pp. 387 ; TF 5A_417/2018 précité consid. 4.3.1, in SJ 2019 1 127). A titre d'exemples d'affections pouvant entrer dans la définition d'un état de faiblesse au sens de l'art. 390 al. 1 CC, il est notamment mentionné les cas extrêmes d'inexpérience, de gaspillage et de mauvaise gestion (TF 5A_844/2017 du 15 mai 2018 consid. 3.4.1 et les références citées). Cette disposition permet d'apporter à la personne concernée l'aide dont elle a besoin dans des cas où l'état de faiblesse ne peut être attribué de manière claire à une déficience mentale ou à un trouble psychique (Biderbost, BSK ZGB I, op. cit. , n. 14 ad art. 390 CC, p. 2419). Pour fonder une curatelle, l'état de faiblesse doit avoir entraîné un besoin de protection de la personne concernée, ou autrement dit, une 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et/ou personnel (TF 5A_567/2023 du 25 janvier 2024 consid. 3.1.1 et les références citées ; 5A_995/2022 du 27 juillet 2023 consid. 4 ; 5A_551/2021 du 7 décembre 2021 consid. 4.1.1 ; 5A_417/2018 précité consid. 4.2.1, in SJ 2019 I 127 ; Meier, Droit de la protection de l'adulte, op. cit. , n. 729, p. 403).</w:t>
      </w:r>
    </w:p>
    <w:p>
      <w:r>
        <w:rPr>
          <w:b/>
        </w:rPr>
        <w:t>E. 3.2.2</w:t>
      </w:r>
    </w:p>
    <w:p>
      <w:r>
        <w:t>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Il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 ATF 140 III 49 ; TF 5A_97/2024 du 6 juin 2024 consid. 3.1 et les références citées ; 5A_567/2023 précité consid. 3.1.3 ; 5A_417/2018 précité consid. 4.2.1, in SJ 2019 I 127). Cette mesure doit donc se trouver en adéquation avec le but fixé, représenter l'atteinte la plus faible possible pour être compatible avec celui-ci et rester dans un rapport raisonnable entre lui et l'atteinte engendrée (TF 5A_567/2023 précité consid. 3.1.1 et les références citées ; 5A_551/2021 précité consid. 4.1.1 ; 5A 417/2018 précité, ibidem ; 5A_844/2017 précité consid. 3.1). En bref, l'autorité de protection de l'adulte doit suivre le principe suivant : « assistance étatique autant que besoin est, et intervention étatique aussi rare que possible » ( cf. ATF 140 III 49).</w:t>
      </w:r>
    </w:p>
    <w:p>
      <w:r>
        <w:rPr>
          <w:b/>
        </w:rPr>
        <w:t>E. 3.2.3</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Droit de la protection de l'adulte, op. cit. , n. 818, pp. 440 et 441 ; Meier, CommFam, op. cit. , nn. 15 à 26 ad art. 394 CC, pp. 439 ss, et n. 11 ad art. 395 CC, p. 452). Parmi les mesures qui peuvent être prononcées, la curatelle de représentation est celle qui retranscrit le plus directement le leitmotiv du nouveau droit : une protection strictement ciblée sur les besoins de la personne concernée (TF 5A_551/2021 précité consid. 4.1.2 ; 5A_417/2018 précité consid. 4.2.2 ; 5A_336/2018 du 8 juin 2018 consid. 4.1).</w:t>
      </w:r>
    </w:p>
    <w:p>
      <w:r>
        <w:rPr>
          <w:b/>
        </w:rPr>
        <w:t>E. 3.2.4</w:t>
      </w:r>
    </w:p>
    <w:p>
      <w:r>
        <w:t>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(TF 5A_103/2024 du 26 septembre 2024 consid. 3.2 et les références citées ; Meier, Droit de la protection de l'adulte, op. cit. , nn. 813 et 833, pp. 438 et 447 ; Meier, CommFam, op. cit. ,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 nn. 835 et 836, pp. 447 et 448 ; ATF 140 III 1 ; TF 5A_417/2018 précité consid 4.2.2 ; 5A_126/2022 du 11 juillet 2022 consid. 6.1 ; 5A_192/2018 du 30 avril 2018 consid. 3.1).</w:t>
      </w:r>
    </w:p>
    <w:p>
      <w:r>
        <w:rPr>
          <w:b/>
        </w:rPr>
        <w:t>E. 3.2.5</w:t>
      </w:r>
    </w:p>
    <w:p>
      <w:r>
        <w:t>Aux termes de l’art. 445 al. 1 CC, l’autorité de protection prend, d’office ou à la demande d’une personne partie à la procédure, les mesures provisionnelles nécessaires pendant la durée de la procédure. Elle peut notamment ordonner une mesure de protection de l’adulte à titre provisoire.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 cf. art. 261 al. 1 CPC ; Guide pratique COPMA 2012 , op. cit. , n. 1.186, p. 75 ; sur le tout : CCUR 1 er mai 2025/81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 S’agissant d’une mesure provisoire, il suffit que la cause et la condition soient réalisées à première vue (JdT 2005 III 51 ; CCUR 1 er mai 2025/81 ; CCUR 4 mars 2021/59 consid. 3.1.4).</w:t>
      </w:r>
    </w:p>
    <w:p>
      <w:r>
        <w:rPr>
          <w:b/>
        </w:rPr>
        <w:t>E. 3.3</w:t>
      </w:r>
    </w:p>
    <w:p>
      <w:r>
        <w:t>En l’espèce, depuis le 1 er janvier 2023, le CSR intervient en faveur du recourant, âgé de 26 ans. Il bénéficie du RI depuis cette date. Selon l’appréciation de l’assistante sociale dudit centre dans son signalement daté du 18 février 2025, le recourant avait urgemment besoin d’une assistance et celle-ci ne pouvait lui être apportée par le CSR. L’intéressé disait alors – et affirme toujours – avoir pour projet de retourner à [...] pour y terminer ses études d’ingénierie, mais ne prend aucune initiative à cette fin. Inscrit à l’ORP depuis janvier 2023, il a été déclaré inapte au placement en août 2023. Il a ensuite participé à une mesure d’insertion, d’octobre 2023 à avril 2024, sans réellement s’investir, bien que demeurant respectueux et régulier. Il est hébergé à la Fondation [...] depuis le 8 septembre 2023 et cette prise en charge a dû être prolongée plusieurs fois pour garantir un toit au recourant. Bien qu’ayant bénéficié d’un accompagnateur social pour l’aider dans ses recherches d’appartement, le recourant ne se présentait pas aux visites. Son hygiène personnelle est gravement insuffisante et négligée, selon les retours des intervenants. Un transfert en hébergement non médicalisé a été envisagé pour que le recourant bénéficie de services tels que la blanchisserie et le ménage, ainsi que pour les repas. Le recourant ne partage pas ses difficultés avec les intervenants sociaux et les différents professionnels impliqués dans son accompagnement. A la fin du mois d’octobre 2024, le recourant a été inscrit à une mesure individualisée visant à évaluer sa situation et à recueillir davantage d’informations sur son quotidien ainsi que sur ses éventuelles difficultés. Il en est ressorti que le recourant n’est pas conscient de ses difficultés, qu’il a des schémas de pensée ainsi que des croyances qu’il ne remet pas en question, qu’il évoque un blocage sans que l’on puisse concrètement comprendre de quoi il s’agit et qu’il ne veut pas utiliser l’argent « du social ». A fin décembre 2024, l’intéressé a accepté une hospitalisation volontaire en psychiatrie, mais quitté le [...] sans suivi, ni diagnostic, ni traitement. Ses courriers ne sont pas traités. L’état de faiblesse est ainsi décrit par tous les intervenants professionnels, de sorte que l’on peut admettre l’existence d’une cause de curatelle au stade de la vraisemblance. Sans accompagnement, la situation du recourant est susceptible de se péjorer davantage, rapidement, alors qu’il est à l’âge où il doit construire son avenir. Il n’est pas en état de prendre soin de lui ni en mesure d’effectuer les tâches basiques de la vie quotidienne, peinant par exemple à s’asseoir à la cuisine pour manger, lorsque cela lui est demandé. L’accompagnement qui lui a été offert jusqu’à présent est manifestement insuffisant, le recourant étant réfractaire à toute forme d’aide et sa situation n’ayant connu aucun progrès notable malgré le soutien social déjà en place. Il s’ensuit qu’au stade des mesures provisionnelles, la cause et la condition (besoin de protection) d’une curatelle sont suffisamment vraisemblables. Par conséquent, il se justifie d’instaurer une mesure de protection, sous la forme d’une curatelle provisoire de représentation et de gestion, afin de soutenir l’intéressé dans la gestion de ses affaires et préserver ses intérêts, à tout le moins durant l’enquête ouverte par le juge de paix. La situation sera réexaminée à l’issue de celle-ci.</w:t>
      </w:r>
    </w:p>
    <w:p>
      <w:r>
        <w:rPr>
          <w:b/>
        </w:rPr>
        <w:t>E. 4</w:t>
      </w:r>
    </w:p>
    <w:p>
      <w:r>
        <w:t>En conclusion, le recours, manifestement infondé, doit être rejeté et l’ordonnance entreprise confirmée. Le présent peut être rendu sans frais judiciaires (art. 74a al. 4 TFJC [tarif du 28 septembre 2010 des frais judiciaires civils ; BLV 270.11.5]). Par ces motifs, la Chambre des curatelles du Tribunal cantonal, statuant à huis clos, prononce : I. Le recours est rejeté. II. L’ordonnance de mesures provisionnelles est confirmée. III. L'arrêt, rendu sans frais judiciaires de deuxième instance, est exécutoire. La présidente :              La greffière : Du L'arrêt qui précède, dont la rédaction a été approuvée à huis clos, est notifié à : ‑ M. Y.________, ‑ Mme D.________, curatrice provisoire, Service des curatelles et tutelles professionnelles, et communiqué à : ‑ M. le Juge de paix du district du Jura-Nord vaudois, - Fondation [...], à l’att. de M. N.________, accompagnateur social, - Centre social régional, à l’att. de Mme O.________, assistante sociale,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