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653 vom 29. Juli 2025</w:t>
      </w:r>
    </w:p>
    <w:p>
      <w:r>
        <w:t>VD Tribunal cantonal, 2025-07-29, FR</w:t>
      </w:r>
    </w:p>
    <w:p>
      <w:r>
        <w:rPr>
          <w:b/>
        </w:rPr>
        <w:t xml:space="preserve">Quelle: </w:t>
      </w:r>
      <w:r>
        <w:t>https://mcp.opencaselaw.ch/entscheid/vd_findinfo_Arr_t___2025___653</w:t>
      </w:r>
    </w:p>
    <w:p>
      <w:r>
        <w:t>FR: VD_FINDINFO Arrêt / 2025 / 653 du 29 juillet 2025</w:t>
      </w:r>
    </w:p>
    <w:p>
      <w:r>
        <w:t>IT: VD_FINDINFO Arrêt / 2025 / 653 del 29 luglio 2025</w:t>
      </w:r>
    </w:p>
    <w:p>
      <w:pPr>
        <w:pStyle w:val="Heading2"/>
      </w:pPr>
      <w:r>
        <w:t>Regeste</w:t>
      </w:r>
    </w:p>
    <w:p>
      <w:r>
        <w:t>CURATELLE DE REPRÉSENTATION AYANT POUR OBJET LA GESTION DU PATRIMOINE, CURATELLE DE REPRÉSENTATION{ART. 394 CC}, REJET DE LA DEMANDE, MESURE PROVISIONNELLE | 394 al. 1 CC, 395 al. 1 CC, 445 CC</w:t>
      </w:r>
    </w:p>
    <w:p>
      <w:pPr>
        <w:pStyle w:val="Heading2"/>
      </w:pPr>
      <w:r>
        <w:t>Erwägungen</w:t>
      </w:r>
    </w:p>
    <w:p>
      <w:r>
        <w:rPr>
          <w:b/>
        </w:rPr>
        <w:t>E. 1.1</w:t>
      </w:r>
    </w:p>
    <w:p>
      <w:r>
        <w:t>Le recours est dirigé contre une ordonnance de mesures provisionnelles du juge de paix instituant une curatelle provisoire de représentation et de gestion au sens des art. 394 al. 1 et 395 al. 1 CC en faveur du recourant.</w:t>
      </w:r>
    </w:p>
    <w:p>
      <w:r>
        <w:rPr>
          <w:b/>
        </w:rPr>
        <w:t>E. 1.2.1</w:t>
      </w:r>
    </w:p>
    <w:p>
      <w:r>
        <w:t>Le recours de l'art. 450 CC est ouvert à la Chambre des curatelles (art. 8 LVPAE [loi du 29 mai 2012 d'application du droit fédéral de la protection de l'adulte et de l'enfant ; BLV 211.255] et 76 al. 2 LOJV [loi d'organisation judiciaire du 12 décembre 1979 ; BLV 173.011]) contre toute décision relative aux mesures provisionnelles (Droese, in Geiser/Fountoulakis [édit.], Basler Kommentar, Zivilgesetzbuch I, Art. 1­456 CC, 7 e éd., Bâle 2022 [ci-après : BSK ZGB I], n. 21 ad art. 450 CC, p. 2932) dans les dix jours dès la notification de la décision (art. 445 al. 3 CC ; cf. notamment CCUR 1 er mai 2025/81).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BSK ZGB I, op. cit. , n. 7 ad art. 450a CC, p. 2943 ; TF 5C_1/2018 du 8 mars 2019 consid. 5.1). En matière de protection de l'adulte et de l'enfant, la maxime inquisitoire illimitée est applicable, de sorte que les restrictions posées par l'art. 317 CPC pour l'introduction de faits ou moyens de preuve nouveaux sont inapplicables ( cf. JdT 2011 III 43 ; CCUR 26 juin 2025/121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2012, op. cit. , n. 12.39, p. 290).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ZGB I, op. cit. , nn. 6 ss ad art. 450d CC, p. 2957).</w:t>
      </w:r>
    </w:p>
    <w:p>
      <w:r>
        <w:rPr>
          <w:b/>
        </w:rPr>
        <w:t>E. 1.3</w:t>
      </w:r>
    </w:p>
    <w:p>
      <w:r>
        <w:t>En l’espèce, motivé et interjeté en temps utile par la personne concernée, le recours est recevable, sous réserve de ce qui suit. La décision attaquée ne se prononce pas sur les droits du recourant à des prestations de l’AI ou de l’aide sociale, l’autorité de protection et la Chambre de céans n’ayant aucune compétence pour statuer sur ces questions. Il en va de même concernant l’annonce de départ de la compagne de l’intéressé. Les conclusions prises par le recourant sur ces objets (conclusions 4, 5 et IX) et les arguments y relatifs – notamment tous ceux se rapportant au fait que le recourant a eu l’honnêteté d’annoncer aux autorités l’arrivée de sa compagne et qu’il s’en est suivi une réduction des prestations de l’aide sociale – sont dès lors irrecevables. L’ordonnance litigieuse, qui examine les mesures à prendre sur la base de moyens de preuves immédiatement disponibles, dans l’attente du résultat de l’enquête, ne se prononce pas davantage sur la nécessité de mettre en œuvre une expertise psychiatrique indépendante en vue de la décision finale. Faute de porter sur l’un des objets de la décision attaquée, la conclusion 2 du recours, qui tend à la mise en œuvre d’une expertise, est également irrecevable. Une expertise psychiatrique n’est d’ailleurs pas un prérequis nécessaire pour instaurer une curatelle, lorsque celle-ci ne limite pas l’exercice des droits civils de la personne concernée, comme en l’espèce ( cf. infra consid. 3.2.2). L’ordonnance attaquée ne statue pas non plus sur le droit du recourant à être assisté d’un conseil d’office, le recourant n’ayant pas présenté de demande en ce sens avant le dépôt de son recours le 2 juillet 2025. Dans la mesure où elle tend à la désignation d’un conseil d’office pour la suite de l’enquête, la conclusion</w:t>
      </w:r>
    </w:p>
    <w:p>
      <w:r>
        <w:rPr>
          <w:b/>
        </w:rPr>
        <w:t>E. 3</w:t>
      </w:r>
    </w:p>
    <w:p>
      <w:r>
        <w:t>e éd., Lausanne 2002, nn. 3 et 4 ad art. 492 CPC-VD, p. 763, point de vue qui demeure valable sous l'empire du nouveau droit.</w:t>
      </w:r>
    </w:p>
    <w:p>
      <w:r>
        <w:rPr>
          <w:b/>
        </w:rPr>
        <w:t>E. 3.1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3.2.1</w:t>
      </w:r>
    </w:p>
    <w:p>
      <w:r>
        <w:t>La procédure devant l'autorité de protection est régie par les art. 443 ss CC. La personne concernée doit être entendue personnellement, à moins que l'audition personnelle ne paraisse disproportionnée (art. 447 al. 1 CC).</w:t>
      </w:r>
    </w:p>
    <w:p>
      <w:r>
        <w:rPr>
          <w:b/>
        </w:rPr>
        <w:t>E. 3.2.2</w:t>
      </w:r>
    </w:p>
    <w:p>
      <w:r>
        <w:t>Une mesure de protection instituée en raison d'un trouble psychique ou d'une déficience mentale doit en principe se fonder sur un rapport d'expertise, à moins que l'un des membres de l'autorité de protection de l'adulte ne dispose des connaissances médicales nécessaires ( cf. art. 446 al. 2 CC ; ATF 140 III 97 consid. 4 ; TF 5A_417/2018 du 17 octobre 2018 consid. 4.3.1 et les références citées, in SJ 2019 I 127). L’établissement d’un rapport d’expertise n’est toutefois pas un préalable nécessaire pour ordonner l’instauration d’une curatelle à tout le moins lorsqu’elle n’emporte pas de restriction de l’exercice des droits civils (TF 5A_417/2018 précité, ibidem ) ou ne déploie que des effets limités (restriction très ponctuelle de la capacité civile active par rapport à certains actes déterminés, dans le cadre des art. 394, 395 et 396 CC ; cf. Meier, Droit de la protection de l’adulte, 2 e éd., Genève/Zurich 2022, n. 209, p. 110). En outre, on peut se montrer moins strict dans le cadre d'une procédure provisionnelle dans laquelle le juge se fonde sur la vraisemblance et procède à un examen sommaire des faits et de la situation juridique (art. 261 al. 1 CPC ; Guide COPMA, n. 1.186, p. 75) ; à cet égard, des rapports médicaux sont suffisants en attendant l’expertise qui devra être diligentée dans le cadre de l’enquête (CCUR 26 août 2024/190 ; CCUR 2 mars 2022/38 consid. 2.3.1 et les références citées ; CCUR 27 juin 2016/132 consid. 3).</w:t>
      </w:r>
    </w:p>
    <w:p>
      <w:r>
        <w:rPr>
          <w:b/>
        </w:rPr>
        <w:t>E. 3.3</w:t>
      </w:r>
    </w:p>
    <w:p>
      <w:r>
        <w:t>En l’espèce, sur le plan formel, le recourant se plaint que la décision attaquée viole son droit d’être entendu, qu’elle ait été « pré-rédigée » – le juge ayant dicté au greffier pendant l’audience « continuez à la ligne » – et qu’elle ait été prise en l’absence de la curatrice, qui a été remplacée au dernier moment et sans préavis par une autre collaboratrice du SCTP. Il se plaint aussi de ne pas avoir bénéficié de l’assistance d’un avocat. La décision attaquée est une ordonnance de mesures provisionnelles, qui instaure une curatelle provisoire dans l’attente du résultat des mesures d’instruction, qui seront administrées pendant l’enquête. Elle a été prise sur le vu d’un rapport médical, cosigné le 18 mars 2025 par le Dr [...] et par L.________, et après que le recourant, qui n’a pas demandé à être assisté d’un avocat – ce qu’il n’y aurait au demeurant peut-être pas lieu de lui accorder –, a été entendu personnellement à l’audience du juge de paix du 11 juin 2025. Quant au remplacement de la curatrice à cette audience par une autre collaboratrice du SCTP, il n’affecte pas non plus la validité formelle de la décision entreprise. La curatrice n’était pas citée à comparaître en qualité de représentante du recourant, de sorte que son absence à l’audience ne vaut pas défaut du recourant au sens de l’art. 147 al. 1 CPC et qu’il n’ouvre pas la voie à une restitution. La curatrice était citée en tant que simple participante à la procédure – ce qui n’emporte pas l’obligation de comparaître – et pour donner des renseignements, ce qu’une autre personne du SCTP ayant connaissance du dossier pouvait faire en ses lieu et place. L’ordonnance attaquée fait donc suite à une instruction suffisante et respecte le droit d’être entendu du recourant. Elle se révèle ainsi régulière en la forme et peut être examinée sur le fond. Pour le surplus, la décision entreprise n’a pas été rendue par défaut, si bien que le recours ne doit pas être considéré comme comportant une demande de restitution qui devrait être transmise au juge de paix.</w:t>
      </w:r>
    </w:p>
    <w:p>
      <w:r>
        <w:rPr>
          <w:b/>
        </w:rPr>
        <w:t>E. 4.1</w:t>
      </w:r>
    </w:p>
    <w:p>
      <w:r>
        <w:t>Le recourant conteste le bien-fondé de l’instauration d’une curatelle provisoire en soutenant que, sous réserve des difficultés que lui posent ses problèmes de mobilité, il est capable de gérer ses affaires lui-même. Il argue aussi de prétendues défaillances de la curatrice, qui auraient entraîné notamment la résiliation de son bail et une coupure momentanée de l’électricité et du téléphone chez lui.</w:t>
      </w:r>
    </w:p>
    <w:p>
      <w:r>
        <w:rPr>
          <w:b/>
        </w:rPr>
        <w:t>E. 4.2.1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op. cit. ,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 n. 720, pp. 398 et 399). Par « troubles psychiques », on entend toutes les pathologies mentales reconnues en psychiatrie, soit les psychoses et les psychopathies ayant des causes physiques ou non, les démences, ainsi que les dépendances telles que la toxicomanie, l'alcoolisme ou la pharmacodépendance (Meier, Droit de la protection de l'adulte, op. cit. , n. 722, p. 399 ; Guide pratique COPMA 2012, n. 5.9, p. 137 et n. 10.6, p. 245 ; TF 5A_374/2018 du 25 juin 2018 consid. 4.2.1).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 TF 5A_417/2018 précité consid. 4.3.1, in SJ 2019 1 127).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 BSK ZGB I, op. cit. , n. 14 ad art. 390 CC, p. 2419).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5A_567/2023 du 25 janvier 2024 consid. 3.1.1 et les références citées ; 5A_995/2022 du 27 juillet 2023 consid. 4 ; 5A_551/2021 du 7 décembre 2021 consid. 4.1.1 ; 5A_417/2018 précité consid. 4.2.1, in SJ 2019 I 127 ; Meier, Droit de la protection de l'adulte, op. cit. , n. 729, p. 403).</w:t>
      </w:r>
    </w:p>
    <w:p>
      <w:r>
        <w:rPr>
          <w:b/>
        </w:rPr>
        <w:t>E. 4.2.2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 TF 5A_97/2024 du 6 juin 2024 consid. 3.1 et les références citées ; 5A_567/2023 précité consid. 3.1.3 ; 5A_417/2018 précité consid. 4.2.1, in SJ 2019 I 127). Cette mesure doit donc se trouver en adéquation avec le but fixé, représenter l'atteinte la plus faible possible pour être compatible avec celui-ci et rester dans un rapport raisonnable entre lui et l'atteinte engendrée (TF 5A_567/2023 précité consid. 3.1.1 et les références citées ; 5A_551/2021 précité consid. 4.1.1 ; 5A 417/2018 précité, ibidem ; 5A_844/2017 précité consid. 3.1). En bref, l'autorité de protection de l'adulte doit suivre le principe suivant : « assistance étatique autant que besoin est, et intervention étatique aussi rare que possible » ( cf. ATF 140 III 49).</w:t>
      </w:r>
    </w:p>
    <w:p>
      <w:r>
        <w:rPr>
          <w:b/>
        </w:rPr>
        <w:t>E. 4.2.3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op. cit. , n. 818, pp. 440 et 441 ; Meier, CommFam, op. cit. , nn. 15 à 26 ad art. 394 CC, pp. 439 ss, et n. 11 ad art. 395 CC, p. 452). Parmi les mesures qui peuvent être prononcées, la curatelle de représentation est celle qui retranscrit le plus directement le leitmotiv du nouveau droit : une protection strictement ciblée sur les besoins de la personne concernée (TF 5A_551/2021 précité consid. 4.1.2 ; 5A_417/2018 précité consid. 4.2.2 ; 5A_336/2018 du 8 juin 2018 consid. 4.1).</w:t>
      </w:r>
    </w:p>
    <w:p>
      <w:r>
        <w:rPr>
          <w:b/>
        </w:rPr>
        <w:t>E. 4.2.4</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(TF 5A_103/2024 du 26 septembre 2024 consid. 3.2 et les références citées ; Meier, Droit de la protection de l'adulte, op. cit. , nn. 813 et 833, pp. 438 et 447 ; Meier, CommFam, op. cit. ,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 nn. 835 et 836, pp. 447 et 448 ; ATF 140 III 1 ; TF 5A_417/2018 précité consid 4.2.2 ; 5A_126/2022 du 11 juillet 2022 consid. 6.1 ; 5A_192/2018 du 30 avril 2018 consid. 3.1).</w:t>
      </w:r>
    </w:p>
    <w:p>
      <w:r>
        <w:rPr>
          <w:b/>
        </w:rPr>
        <w:t>E. 4.2.5</w:t>
      </w:r>
    </w:p>
    <w:p>
      <w:r>
        <w:t>Aux termes de l’art. 445 al. 1 CC, l’autorité de protection prend, d’office ou à la demande d’une personne partie à la procédure, les mesures provisionnelles nécessaires pendant la durée de la procédure. Elle peut notamment ordonner une mesure de protection de l’adulte à titre provisoire.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 cf. art. 261 al. 1 CPC ; Guide pratique COPMA 2012 , op. cit. , n. 1.186, p. 75 ; sur le tout : CCUR 1 er mai 2025/81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S’agissant d’une mesure provisoire, il suffit que la cause et la condition soient réalisées à première vue (JdT 2005 III 51 ; CCUR 1 er mai 2025/81 ; CCUR 4 mars 2021/59 consid. 3.1.4).</w:t>
      </w:r>
    </w:p>
    <w:p>
      <w:r>
        <w:rPr>
          <w:b/>
        </w:rPr>
        <w:t>E. 4.3</w:t>
      </w:r>
    </w:p>
    <w:p>
      <w:r>
        <w:t>En l’espèce, le certificat médical du 18 mars 2025 n’est entaché d’aucune contradiction interne, ni d’aucune obscurité, et il n’est contredit par aucune pièce du dossier. Le recourant soutient que les conclusions de ce rapport seraient erronées, mais il ne formule aucune critique contre les constats, les appréciations et le raisonnement des auteurs du rapport qui les ont conduits à ces conclusions. La Chambre de céans n’a dès lors aucune raison de s’écarter de ce rapport. Selon celui-ci, le recourant souffre de troubles moteurs, cognitifs et psychiques qui interagissent de manière complexe et affectent considérablement sa capacité à gérer les aspects pratiques de sa vie, notamment pour la prise de décisions, l’intéressé peinant à se concentrer sur des tâches longues et complexes et à retenir des informations essentielles. La dégradation progressive de son état physique et mental crée une situation de vulnérabilité, réduisant sa capacité à agir dans son propre intérêt, notamment dans les domaines personnel, administratif et financier. Ces difficultés résultent d’un ensemble de troubles qui compromettent l’aptitude de l’intéressé à agir de manière autonome et conforme à ses intérêts. Les limitations présentées par le recourant impliquent ainsi notamment des difficultés, avec un risque d’erreurs, dans l’organisation des paiements, la tenue du budget et dans le cadre du suivi de ses affaires administratives. L’existence d’une cause de curatelle est ainsi donnée. Il ressort en outre du dossier que le recourant s’est vu expulser de son logement pour non-respect répété des règlements de l’immeuble, que, durant la période antérieure au prononcé de la curatelle à titre superprovisionnel, des factures de téléphone et d’électricité n’ont pas été réglées par l’intéressé, et que, même assisté par sa mandataire de choix, il se trouve dans l’incapacité de régler le problème qu’il rencontre avec l’Office AI et le CSR – puisqu’il conclut dans son recours à ce que l’autorité de protection ordonne que des prestations lui soient versées par ces organismes. Le besoin de protection du recourant est ainsi suffisamment vraisemblable, en l’état. Une mesure de curatelle semble dès lors nécessaire, l’aide des proches ou des services publics paraissant insuffisante pour assurer un soutien efficace à l’intéressé. Le recourant a dès lors besoin de la désignation d’une curatrice du SCTP, compte tenu en particulier des démarches administratives complexes qui doivent être entreprises pour régulariser sa situation auprès des organismes de prestations sociales (AI, CSR) et de celles à venir en lien avec la recherche et l’intégration d’un nouveau logement adapté. Au demeurant, l’intéressé ne conteste pas le principe du choix d’un curateur professionnel et a refusé la proposition du juge de paix de confier le mandat à un curateur privé de confiance. Enfin, le recourant ne démontre pas que la coupure momentanée du téléphone et de l’électricité – découlant du non-paiement de factures antérieures à la mise en œuvre de la curatelle – et la résiliation du bail seraient dues à des négligences de la curatrice qui lui a été désignée à titre superprovisoire. Partant, la décision attaquée échappe à la critique. Il résulte de ce qui précède que tant la cause que la condition d’une curatelle semblent réunies, au stade des mesures provisionnelles, dite mesure paraissant nécessaire pour assurer la sauvegarde des intérêts de la personne concernée, à tout le moins durant l’enquête, à l’issue de laquelle la situation sera réexaminée. Pour le surplus, on doit constater que la curatrice désignée à titre provisoire paraît satisfaire aux exigences de l’art. 400 CC.</w:t>
      </w:r>
    </w:p>
    <w:p>
      <w:r>
        <w:rPr>
          <w:b/>
        </w:rPr>
        <w:t>E. 5</w:t>
      </w:r>
    </w:p>
    <w:p>
      <w:r>
        <w:t>En conclusion, le recours, manifestement infondé, doit être rejeté dans la mesure de sa recevabilité et l’ordonnance entreprise confirmée.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dans la mesure où il est recevable. II. L’ordonnance de mesures provisionnelles est confirmée. III. L’arrêt, rendu sans frais judiciaires de deuxième instance, est exécutoire. La présidente :              La greffière : Du L'arrêt qui précède, dont la rédaction a été approuvée à huis clos, est notifié à : ‑ M. A.P.________, - Mme M.________, curatrice provisoire, Service des curatelles et tutelles professionnelles, et communiqué à : ‑ M. le Juge de paix du district du Jura-Nord vaudois, - Centre de psychiatrie [...], à l’att. de Mme [...], assistante sociale, - Centre de psychiatrie [...], à l’att. de Mme L.________, infirmière référente,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