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584 vom 18. Juni 2025</w:t>
      </w:r>
    </w:p>
    <w:p>
      <w:r>
        <w:t>VD Tribunal cantonal, 2025-06-18, FR</w:t>
      </w:r>
    </w:p>
    <w:p>
      <w:r>
        <w:rPr>
          <w:b/>
        </w:rPr>
        <w:t xml:space="preserve">Quelle: </w:t>
      </w:r>
      <w:r>
        <w:t>https://mcp.opencaselaw.ch/entscheid/vd_findinfo_Arr_t___2025___584</w:t>
      </w:r>
    </w:p>
    <w:p>
      <w:r>
        <w:t>FR: VD_FINDINFO Arrêt / 2025 / 584 du 18 juin 2025</w:t>
      </w:r>
    </w:p>
    <w:p>
      <w:r>
        <w:t>IT: VD_FINDINFO Arrêt / 2025 / 584 del 18 giugno 2025</w:t>
      </w:r>
    </w:p>
    <w:p>
      <w:pPr>
        <w:pStyle w:val="Heading2"/>
      </w:pPr>
      <w:r>
        <w:t>Regeste</w:t>
      </w:r>
    </w:p>
    <w:p>
      <w:r>
        <w:t>DÉCISION DE RENVOI, ALLOCATION POUR IMPOTENT | 42 LAI, 61 let. c LPGA, 9 LPGA, 37 RAI, 38 RAI</w:t>
      </w:r>
    </w:p>
    <w:p>
      <w:pPr>
        <w:pStyle w:val="Heading2"/>
      </w:pPr>
      <w:r>
        <w:t>Erwägungen</w:t>
      </w:r>
    </w:p>
    <w:p>
      <w:r>
        <w:rPr>
          <w:b/>
        </w:rPr>
        <w:t>E. 28</w:t>
      </w:r>
    </w:p>
    <w:p>
      <w:r>
        <w:t>janvier 2021 ne pouvait, au vu de nouveaux éléments au dossier, pas être maintenue et qu’une nouvelle évaluation de l’impotence paraissait nécessaire. Dans ses déterminations du 12 mai 2024, P.________ a souligné que le rapport d’expertise établi par le Dr T.________ permettait, au vu des constats que celui-ci contenait, de justifier a minima la reconnaissance d’une impotence de degré moyen, voire grave, si bien qu’aucun complément d’instruction ne s’imposait. Il invitait la Cour des assurances sociales du Tribunal cantonal à statuer immédiatement sur le droit à une allocation pour impotent. E n  d r o i t  : 1. La Cour des assurances sociales doit statuer à nouveau dans cette affaire à la suite de l'arrêt de renvoi du Tribunal fédéral du 15 juin 2022.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question du droit à une allocation pour impotent ne pouvait pas être tranchée sans connaître l’issue de la nouvelle demande de prestations déposée le 23 juin 2020 par le recourant. Lorsqu’une personne souffrait uniquement d’une atteinte à la santé psychique – ce qui était le cas en l’espèce –, elle devait, pour être considérée comme impotente, avoir droit au moins à un quart de rente d’invalidité. Or, en l’absence de décision rendue par l’office intimé quant à un éventuel droit du recourant à une rente d’invalidité, la Cour de céans ne pouvait pas nier d’emblée le droit à une allocation pour impotent pour le seul motif qu’il n’avait pas droit à un quart de rente. Le Tribunal fédéral a par voie de conséquence considéré que la cause devait être renvoyée à la Cour de céans, afin qu’elle suspende la procédure jusqu’à droit connu sur la nouvelle demande de prestations du recourant. c) Conformément au jugement de renvoi du Tribunal fédéral, la Cour de céans a suspendu la procédure relative au droit à une allocation pour impotent jusqu’à ce qu’il soit statué définitivement sur le droit à la rente du recourant. La procédure a été reprise à la suite des décisions des 29 octobre 2024 et 21 janvier 2025 allouant au recourant une rente entière d’invalidité à compter du 1 er décembre 2020. 3. Le litige a pour objet le droit du recourant à une allocation pour impotent de l’assurance-invalidité. 4. a) Aux termes de l’art. 9 LPGA (loi fédérale du 6 octobre 2000 sur la partie générale du droit des assurances sociales ; RS 830.1), est réputée impotente toute personne qui, en raison d’une atteinte à la santé, a besoin de façon permanente de l’aide d’autrui ou d’une surveillance personnelle pour accomplir des actes élémentaires de la vie quotidienne. Selon l’art. 42 LAI (loi fédérale du 19 juin 1959 sur l’assurance-invalidité ; RS 831.20),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notion de surveillance personnelle permanente au sens de l'art. 37 al. 2 let. b et al. 3 let. b RAI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(ATF 107 V 136 consid. 1b ; 106 V 153 consid. 2a  ; TF 9C_831/2017 du 3 avril 2018 consid. 3.1 et les références).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des contacts, par exemple en l’emmenant assister à des manifestations (ch. 8052 CIIAI).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b)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453 consid. 3.2.1 ; 130 V 61 consid. 6 et 128 V 93). d) Même si, compte tenu de sa nature, l'enquête au domicile de l’assuré est un moyen approprié pour évaluer l'étendue d'empêchements dus à des limitations physiques, elle garde valeur probante lorsqu'il s'agit d'estimer les empêchements que l'assuré rencontre en raison de troubles d'ordre psychique. Toutefois, en présence de tels troubles, et en cas de divergences entre les résultats de l'enquête à domicile et les constatations d'ordre médical, celles-ci ont, en règle générale, plus de poids que l'enquête à domicile. Une telle priorité de principe est justifiée par le fait qu'il est souvent difficile pour la personne chargée de l'enquête à domicile de reconnaître et d'apprécier l'ampleur et l’impact de l'atteinte psychique (TF 9C_925/2013 du 1 er avril 2014 consid. 2.2). 6. a) En l’occurrence, l’expertise établie par le Dr T.________ fait apparaître la situation médicale du recourant sous un nouveau jour, dès lors qu’il est désormais admis que ce dernier présente une incapacité totale de travailler pour des motifs psychiques. Dans la mesure où les conclusions de l’enquête à domicile réalisée le 8 juillet 2020 reposaient, pour partie, sur des constatations médicales qui ont été invalidées par le médecin précité, il y a lieu de dénier toute valeur probante à ce document. Cela étant, il n’est, en l’état, pas possible, comme le suggère le recourant dans ses déterminations du 12 mai 2025, de statuer sur le droit à une allocation pour impotent sur la base des autres éléments au dossier. Dans le cadre de son expertise, le Dr T.________ a souligné que la capacité à porter des jugements et à prendre des décisions, la relation à deux, l’adaptation aux règles, la planification des tâches la flexibilité ou encore la prise en charge personnelle et la mobilité étaient préservées chez le recourant (p. 17) ; il a également relevé que le recourant, s’il était pour l’essentiel passif à domicile et déléguait le quotidien à son épouse, demeurait capable d’une vie sociale et de voyager dans son pays d’origine (p. 30). Il semble par conséquent que le recourant soit encore en mesure d’affronter et de gérer certaines tâches de la vie quotidiennes, dans une mesure toutefois indéterminée. Dans ces conditions, il apparaît indispensable de renvoyer le dossier à l'office intimé afin qu’il procède à une nouvelle évaluation de l'impotence du recourant ainsi que des besoins spécifiques de ce dernier. Il incombera ensuite à l’office intimé de rendre une nouvelle décision en matière d’allocation pour impotent à l'égard de l'intéressé. b) Compte tenu de l'issue du litige, il n'y a plus lieu d'analyser dans le détail les divers griefs invoqués par le recourant dans son acte de recours du 26 février 2021. 7. a) En définitive, le recours, bien fondé, doit être admis, la décision attaquée annulée et la cause renvoyée à l’office intimé pour qu’il complète l’instruction et rende une nouvelle décision. b) La procédure de recours en matière de contestations portant sur l’octroi ou le refus de prestations de l’assurance-invalidité est soumise à des frais de justice (art. 69 al. 1 bis LAI). Il convient de les fixer à 600 fr. et de les mettre à la charge de l’office intimé, vu l’issue du litige. c) Le recourant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l’office 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