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53 vom 6. Februar 2025</w:t>
      </w:r>
    </w:p>
    <w:p>
      <w:r>
        <w:t>VD Tribunal cantonal, 2025-02-06, FR</w:t>
      </w:r>
    </w:p>
    <w:p>
      <w:r>
        <w:rPr>
          <w:b/>
        </w:rPr>
        <w:t xml:space="preserve">Quelle: </w:t>
      </w:r>
      <w:r>
        <w:t>https://mcp.opencaselaw.ch/entscheid/vd_findinfo_Arr_t___2025___53</w:t>
      </w:r>
    </w:p>
    <w:p>
      <w:r>
        <w:t>FR: VD_FINDINFO Arrêt / 2025 / 53 du 6 février 2025</w:t>
      </w:r>
    </w:p>
    <w:p>
      <w:r>
        <w:t>IT: VD_FINDINFO Arrêt / 2025 / 53 del 6 febbraio 2025</w:t>
      </w:r>
    </w:p>
    <w:p>
      <w:pPr>
        <w:pStyle w:val="Heading2"/>
      </w:pPr>
      <w:r>
        <w:t>Regeste</w:t>
      </w:r>
    </w:p>
    <w:p>
      <w:r>
        <w:t>LIEN DE CAUSALITÉ, ATTEINTE À LA SANTÉ PHYSIQUE, ACCIDENT | 36 al. 1 LAA, 6 al. 1 LAA, 4 LPGA, 53 al. 1 LPGA, 53 al. 2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la recourante peut prétendre à la révision de la décision du 23 mai 2017, entrée en force, singulièrement si S.________SA était fondée à refuser la prise en charge du traitement des lésions dentaires de la dent 11 (cf. factures de 171 fr., 214 fr. 20, 917 fr. 60, 634 fr. 55, 112 fr. 85, 406 fr. 80 et traitements devisés à 279 fr. et 3'400 fr.), faute de relation de causalité naturelle et adéquate entre ces lésions et l’événement du 28 janvier 2017.</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 post hoc ergo propter hoc »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c/aa)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et 4.7; voir aussi l'arrêt 8C_796/2016 du 14 juin 2017 consid. 3.3).</w:t>
      </w:r>
    </w:p>
    <w:p>
      <w:r>
        <w:rPr>
          <w:b/>
        </w:rPr>
        <w:t>E. 4</w:t>
      </w:r>
    </w:p>
    <w:p>
      <w:r>
        <w:t>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(qui correspond à l’ancien art. 137 let. b OJ et auquel s’applique la jurisprudence rendue à propos de cette norme, cf. ATF 144 V 245 consid. 5.1).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(ATF 143 III 272 consid. 2.2 et les références). Quant aux preuves concluantes, elles supposent en bref aussi la réunion de cinq conditions: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p. 358 et les références ; TF 8C_687/2017 du 24 octobre 2018 consid. 3). b) L’assureur peut revenir sur les décisions ou les décisions sur opposition formellement passées en force lorsqu’elles sont manifestement erronées et que leur rectification revêt une importance notable (art. 53 al. 2 LPGA).</w:t>
      </w:r>
    </w:p>
    <w:p>
      <w:r>
        <w:rPr>
          <w:b/>
        </w:rPr>
        <w:t>E. 5</w:t>
      </w:r>
    </w:p>
    <w:p>
      <w:r>
        <w:t>a) En l’occurrence, l’intimée est entrée en matière sur la demande de révision du 18 décembre 2020, quand bien même la recourante n’y a fait état d’aucun moyen de preuve ni faits nouveaux importants qui ne pouvaient pas être produits auparavant. Dans le rapport du 4 septembre 2020 de la Dre G.________, joint à la demande de révision du 18 décembre 2020, il est en effet fait état d’une patiente vue pour la première fois en 2018, soit postérieurement à la décision du 23 mai 2017. Les faits que cette médecin relate n’étaient donc pas connus au moment où l’intimée a rendu sa décision et ne constituent ainsi pas des faits nouveaux au sens de l’art. 53 al. 1 LPGA. b) Par ailleurs, les avis médicaux dont se prévaut la recourante ne font pas apparaître la décision du 23 mai 2017 comme manifestement erronée au sens de l’art. 53 al. 2 LPGA. c) Il apparaît ainsi que les conditions d’une révision (procédurale) de la décision du 23 mai 2017, entrée en force, n’étaient, au moment de la demande, pas remplies. Quoi qu’il en soit, dans la mesure où l’intimée est entrée en matière sur cette demande et qu’elle a rendu une nouvelle décision le 4 mai 2022, confirmée sur opposition le 18 avril 2023, il y a lieu d’examiner si l’intimée était fondée à refuser la prise en charge des traitements facturés et devisés dans la procédure initiée en décembre 2020.</w:t>
      </w:r>
    </w:p>
    <w:p>
      <w:r>
        <w:rPr>
          <w:b/>
        </w:rPr>
        <w:t>E. 6</w:t>
      </w:r>
    </w:p>
    <w:p>
      <w:r>
        <w:t>a) En l’occurrence, il est constant que l’intimée a admis, en janvier 2017, que la recourante avait été victime d’un accident au sens de l’art. 4 LPGA. Ce point n’a pas à être réexaminé à ce stade. L’intimée a toutefois, par décision du 23 mai 2017 entrée en force, refusé de prester, au motif que la relation de causalité entre les dégâts constatés sur la dent 11 et le traumatisme (accident du 28 janvier 2017) n’était pas établie. Elle a confirmé sa position par décision du 4 mai 2022, puis par décision sur opposition du 18 avril 2023. Pour ce faire, elle s’est en particulier fondée sur les avis successifs de ses médecins-dentistes-conseils, les Drs E.________, V.________ et H.________. b) En l’espèce, le dossier de l’assurée a tout d’abord été soumis au DrE.________ qui, dans un avis du 1 er mars 2017, a constaté que l’état parodontal de la dent 11 était mauvais (avec perte d’os). Après avoir visualisé des radiographies datant de 2013, le médecin-dentiste précité a confirmé son appréciation, selon laquelle l’assurée avait présenté des problèmes parodontaux antérieurs à l’accident (cf. avis du 5 avril 2017). Sollicité ensuite dans le cadre d’un deuxième avis, le DrH.________ a émis un pronostic réservé au sujet de la dent 11, compte tenu de la canine 13 incluse et non en raison du traumatisme. Selon ce spécialiste, la relation de causalité entre les dégâts constatés sur la dent 11 et l’accident du 28 janvier 2017 n’était pas établie (cf. avis du 11 mai 2017). A la suite de ces deux avis, l’intimé a rendu la décision du 23 mai 2017 de refus de prise en charge des dégâts sur la dent 11 de l’assurée, entrée en force. Dans le cadre de la demande de révision intervenue près de trois ans et demi plus tard, et alors que S.________SA a reçu un rapport complémentaire de la Dre G.________ indiquant qu’un traitement orthodontique était envisagé (cf. rapport du 4 septembre 2020 et devis du 6 juin 2021), le dossier de l’assurée a été soumis au DrV.________, médecin-dentiste-conseil, qui a confirmé que l’état de la dent 11 n’était, au degré de la vraisemblance prépondérante, pas une conséquence de l’accident, dès lors que la migration de cette dent, pour laquelle la Dre G.________ affirmait qu’elle était sans rapport avec la dent 13 incluse, semblait secondaire à une importante atteinte parodontale plutôt qu’à un choc accidentel ayant eu lieu en 2017 (cf. avis des 20 janvier et 26 avril 2022). Compte tenu de documents médicaux reçus par la DreG.________ le 6 novembre 2022, l’intimé a sollicité une nouvelle fois le Dr H.________ pour un avis. Celui-ci a relevé, dans un avis du 16 janvier 2023, que la relation entre le traumatisme de 2017 et les dégâts constatés par la suite était exclue. En effet, selon une radiographie apicale de la dent 11 du 9 février 2017 réalisée moins de deux semaines après l’accident, il était certain que la résorption osseuse autour de la dent 11 était antérieure à celui-ci. Le Dr H.________ était d’avis, à l’instar de ce qu’affirmait le Dr V.________, que la migration de la dent 11 était secondaire à une atteinte parodontale sévère préexistante au traumatisme de 2017 plutôt qu’à un choc accidentel. Il a ajouté que selon la radiographie apicale du 9 février 2017, l’apex de la dent 11 se superposait à la couronne de la dent 13, ce qui signifiait que le rapport entre les deux dents était étroit. Le Dr H.________ a complété son appréciation par un avis du 20 mars 2023, dans lequel il a listé les pièces à disposition, rappelé l’historique depuis l’accident, résumé les avis des médecins-dentiste-conseils précédents et confirmé que l’infection survenue sur la dent 11 entre novembre 2017 et février 2018 était la conséquence d’une atteinte parodontale sévère de la dent 11 préexistante à l’accident et non la conséquence du traumatisme du 28 janvier 2017. Il a encore relevé que le « Cone Beam », coupe 186, du 5 mars 2018, montrait qu’une communication existait entre le sac folliculaire de la dent 13 incluse et la lésion parodontale périarticulaire de la dent 11. Cette image prouvait ainsi qu’une lésion parodontale autour de la racine de la dent 11 avait pu se développer à partir de la dent 13 incluse. Il y a lieu à ce stade de constater que le Dr H.________ a examiné l’ensemble des pièces du dossier, ce après qu’un complément d’instruction a été effectué par l’intimée auprès de tous les médecins consultés par la recourante. Il a donc établi son rapport du 20 mars 2023, clair et détaillé, en parfaite connaissance du dossier. Son appréciation, convaincante, rejoint également les avis de deux autres spécialistes, les Drs E.________ et V.________. Dans son recours, la recourante se réfère à une radiographie occlusale du 9 février 2023, qu’elle n’a au demeurant pas produite, laquelle n’est dans tous les cas pas de nature à permettre d’examiner différemment la question de la causalité entre les troubles allégués et l’accident de janvier 2017, dès lors qu’elle a eu lieu six ans après l’accident du 28 janvier 2017. Si, toutefois, il fallait comprendre que la recourante se référait en réalité à la radiographie du 9 février 2017, on relèvera que le Dr H.________ a pris expressément position à cet égard, en soulignant qu’il était impossible qu’une lésion parodontale du type de celle mise en évidence au niveau de la dent 11 ait pu se développer aussi rapidement, à savoir en seulement douze jours après l’accident. L’argument de la recourante tombe ainsi à faux. Enfin, l’affirmation de la recourante selon laquelle le Dr H.________ aurait établi son appréciation sur la base de radiographies qui n’aurait pas été datées dans l’ordre chronologique ne repose sur aucun fondement et doit être écartée. c) S’agissant des avis des Drs G.________ et M.________, ils ne sont pas propres à remettre sérieusement en doute l’appréciation des médecins-conseils de l’intimée. En effet, la Dre G.________, que la recourante a consultée pour la première en 2018, soit plus d’une année après l’accident du 28 janvier 2017, dans le cadre d’une chirurgie maxillo-faciale à la suite d’un abcès au départ de la dent 11, n’évoque aucunement, dans son rapport du 4 septembre 2020, joint à la demande de révision, que l’intervention réalisée aurait été en lien avec le traumatisme subi par la recourante en 2017, pas plus que les traitements proposés. Au contraire, elle constate sur le « Cone Beam » réalisé en 2018, une dent 13 incluse, comme cela avait déjà été mentionné par la Dre P.________ moins de deux semaines après l’accident, ce qui rejoint les constats des médecins-dentistes-conseils de l’intimée. La lecture que fait la Dre G.________ des photographies et radiographies datant de 2018, selon laquelle il y aurait absence d’interférence entre la dent incluse et la dent 11 n’apparaît pas convaincante. L’appréciation du Dr H.________, qui a répondu avec précision que le « Cone Beam », coupe 186, du 5 mars 2018, montrait qu’une communication existait entre le sac folliculaire de la dent 13 incluse et la lésion parodontale périarticulaire de la dent 11, si bien que cette image prouvait qu’une lésion parodontale autour de la racine de la dent 11 avait pu se développer à partir de la dent 13 incluse, apparaît, au stade la vraisemblance prépondérante, bien plus crédible. On relèvera également que ce n’est qu’après avoir eu connaissance du courrier du 26 janvier 2022 de S.________SA, informant le Centre hospitalier J.________ du refus de prise en charge des frais de traitement devisés à 3'400 fr., faute de lien de causalité entre les dommages causés par l’accident et la situation d’alors, que la Dre G.________ a, pour la première fois, mentionné que la patiente avait présenté un traumatisme au niveau maxillaire en date du 28 janvier 2018 (recte : 2017) et qu’à la suite de l’accident, la dent 11 avait dû être dévitalisée et présentait un déplacement post-traumatique de plus en plus important avec mésialisation et extrusion (cf. rapport du 24 février 2022). Il faut ainsi considérer que l’affirmation de la Dre G.________, quant à l’existence d’un lien de causalité entre les dégâts constatés et le traumatisme de 2017, repose uniquement sur un raisonnement post hoc propter hoc, que l’on ne saurait suivre. A cela s’ajoute que la Dre G.________ s’est finalement partiellement ralliée aux constatations des Dr V.________ et H.________, en ce sens qu’elle a admis l’existence d’une atteinte parodontale importante préexistante à l’accident du 28 janvier 2017 (cf. rapport du 10 mai 2024). Elle a toutefois considéré que la migration de la dent 11 de l’assurée était due à la fois à l’atteinte parodontale préexistante et au choc accidentel. La Dre G.________ n’a cependant pas précisé dans quelle proportion les deux facteurs auraient joué un rôle, contrairement au Dr H.________ qui a affirmé qu’une relation de causalité entre les dégâts constatés sur la dent 11 et le traumatisme de 2017 était exclue. L’avis de la Dre G.________, qui a quelque peu varié au fil des années et qui repose sur des rapports peu motivés, ne permet ainsi pas de remettre en doute l’appréciation des médecins-dentistes-conseils de l’intimée. Quant au Dr M.________, il s’est contenté d’établir un devis, le 28 mai 2021, dont on ne peut rien déduire s’agissant de la nature, post-traumatique ou non, des atteintes de la dent 11 de la recourante. Son appréciation doit donc d’emblée être écartée. e) En définitive, l’intimée était fondée, sur la base des avis concordants et probants des Drs E.________, V.________ et H.________, à retenir que la lésion de la dent</w:t>
      </w:r>
    </w:p>
    <w:p>
      <w:r>
        <w:rPr>
          <w:b/>
        </w:rPr>
        <w:t>E. 11</w:t>
      </w:r>
    </w:p>
    <w:p>
      <w:r>
        <w:t>de la recourante et les complications qui s’en sont suivies en 2018, n’étaient pas en relation de causalité avec l’accident du 28 janvier 2017. C’est donc à bon droit qu’elle a refusé toute prise en charge des frais de traitements intervenus postérieurement à cet évènement. 7. a) Compte tenu de ce qui précède, le recours doit être rejeté et la décision entreprise confirmée. b) Il n’y a pas lieu de percevoir de frais judiciaires (art. 61 let. f bis LPGA), ni d’allouer de dépens à la recourante, qui n’obtient pas gain de cause (art. 61 let. g LPGA). c) La recourante est au bénéfice de l’assistance judiciaire et s’est vu désigner un conseil d’office par décision du 24 juillet 2023. Me Métille peut ainsi prétendre une équitable indemnité pour son mandat d’office. Cette indemnité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datée du 14 octobre 2024, Me Métille a chiffré à</w:t>
      </w:r>
    </w:p>
    <w:p>
      <w:r>
        <w:rPr>
          <w:b/>
        </w:rPr>
        <w:t>E. 14</w:t>
      </w:r>
    </w:p>
    <w:p>
      <w:r>
        <w:t>heures et 5 minutes le temps consacré au dossier de la recourante, soit 13 heures et 20 minutes au tarif d’avocat et 45 minutes au tarif d’avocat-stagiaire. Or, si les opérations futures comptabilisées à titre indicatif en date du 14 mars 2025, à hauteur de 1 heure et 15 minutes, peuvent être acceptées, les opérations postérieures ne sauraient être retenues. Les opérations admises couvrent en effet, en sus de l’examen du présent arrêt, un entretien téléphonique et un courriel à l’assuré. Les courriels subséquents ne se justifient pas, tout comme le courrier à S.________SA dont l’objet est le paiement des dépens. A cet égard, il convient de retrancher 40 minutes. En outre, il y a lieu de retrancher le temps consacré à l’envoi de la liste d’opérations, par 20 minutes, le 14 octobre 2024 (JdT 2017 III 59 ; CASSO AI 295/22 - 233/2023 du 28 août 2023). Le temps dévolu à l’opération « reprise et finalisation projet, bordereau et envoi » du 9 juillet 2024, soit 30 minutes, doit également être retranché, dans la mesure où une durée de 2h45 a déjà été comptabilisée pour la rédaction de la réplique, ce qui est largement suffisant compte tenu de la complexité relative du litige. Partant, le temps admis s’élève à 11 heures et 50 minutes pour les opérations réalisées par Me Métille et à 45 minutes pour celles réalisées par l’avocat-stagiaire, ce qui est conséquent dans la mesure où l’avocat d’office s’est limité au dépôt d’une réplique. Ces opérations seront indemnisées à hauteur de 2'130 fr. et 82 fr. 50 ([11h50 x 180] + [45 min. x 110]). Il convient encore d’appliquer le forfait de 5 % du défraiement hors taxe, soit 110 fr. 60 ([11h50 x 180] + [45 min. x 110] x 5%) (art. 3bis al. 1 RAJ [règlement cantonal du 7 décembre 2010 sur l’assistance judiciaire en matière civile ; BLV 211.02.3]). A cela s’ajoute la TVA par 178 fr. 55 ([27 fr. 50 x 7.7%] + [55 fr. x 8,1%] + [135 fr. x 7,7%] + [1’995 fr. x. 8,1%]). En définitive, l’indemnité de Me Métille est arrêtée à 2'501 fr. 65 (2'130 fr. + 82 fr. 50 + 110 fr. 60 + 178 fr. 55), débours et TVA compris. La rémunération de l’avocat d’office est provisoirement assumée par le canton (art. 122 al. 1 let. a CPC, applicable par renvoi de l’art. 18 al. 5 LPA-VD).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juge unique prononce : I. Le recours est rejeté. II. La décision rendue le 18 avril 2023 par S.________SA est confirmée. III. Il n’est pas perçu de frais judiciaires, ni alloué de dépens. IV. L’indemnité d’office de Me David Métille, conseil de la recourante, est arrêtée à 2'501 fr. 65 (deux mille cinq cent un francs et soixante-cinq centimes), débours et TVA compris. V. La bénéficiaire de l'assistance judiciaire est, dans la mesure de l'art. 123 CPC, applicable par renvoi de l'art. 18 al. 5 LPA-VD, tenue au remboursement de l'indemnité du conseil d'office mise provisoirement à la charge de l'Etat. La juge unique :               La greffière : Du L'arrêt qui précède est notifié à : ‑ Me David Métille (pour la recourante), ‑ S.________SAA,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