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385 vom 12. Mai 2025</w:t>
      </w:r>
    </w:p>
    <w:p>
      <w:r>
        <w:t>VD Tribunal cantonal, 2025-05-12, FR</w:t>
      </w:r>
    </w:p>
    <w:p>
      <w:r>
        <w:rPr>
          <w:b/>
        </w:rPr>
        <w:t xml:space="preserve">Quelle: </w:t>
      </w:r>
      <w:r>
        <w:t>https://mcp.opencaselaw.ch/entscheid/vd_findinfo_Arr_t___2025___385</w:t>
      </w:r>
    </w:p>
    <w:p>
      <w:r>
        <w:t>FR: VD_FINDINFO Arrêt / 2025 / 385 du 12 mai 2025</w:t>
      </w:r>
    </w:p>
    <w:p>
      <w:r>
        <w:t>IT: VD_FINDINFO Arrêt / 2025 / 385 del 12 maggio 2025</w:t>
      </w:r>
    </w:p>
    <w:p>
      <w:pPr>
        <w:pStyle w:val="Heading2"/>
      </w:pPr>
      <w:r>
        <w:t>Regeste</w:t>
      </w:r>
    </w:p>
    <w:p>
      <w:r>
        <w:t>MESURE PROVISIONNELLE, CURATELLE DE REPRÉSENTATION AYANT POUR OBJET LA GESTION DU PATRIMOINE, CURATELLE DE REPRÉSENTATION{ART. 394 CC}, CONFLIT D'INTÉRÊTS, PATRIMOINE FINANCIER | 394 al. 1 CC, 394 al. 2 CC, 395 al. 1 CC, 395 al. 3 CC</w:t>
      </w:r>
    </w:p>
    <w:p>
      <w:pPr>
        <w:pStyle w:val="Heading2"/>
      </w:pPr>
      <w:r>
        <w:t>Erwägungen</w:t>
      </w:r>
    </w:p>
    <w:p>
      <w:r>
        <w:rPr>
          <w:b/>
        </w:rPr>
        <w:t>E. 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 Droit de la protection de l’adulte, Guide pratique COPMA, 2012 [ci-après : Guide pratique COPMA 2012], n. 12.34, p. 289 ).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 Guide pratique COPMA 2012, op. cit. , n. 12.39, p. 290) .</w:t>
      </w:r>
    </w:p>
    <w:p>
      <w:r>
        <w:rPr>
          <w:b/>
        </w:rPr>
        <w:t>E. 2.2</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2.3</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2.4</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 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ou ne déploie que des effets limités (restriction très ponctuelle de la capacité civile active par rapport à certains actes déterminés, dans le cadre des art. 394, 395 et 396 CC ; cf. Meier, Droit de la protection de l'adulte, op. cit. ,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 CCUR 27 juin 2016/132 consid. 3).</w:t>
      </w:r>
    </w:p>
    <w:p>
      <w:r>
        <w:rPr>
          <w:b/>
        </w:rPr>
        <w:t>E. 2.5</w:t>
      </w:r>
    </w:p>
    <w:p>
      <w:r>
        <w:t>En l'espèce, la personne concernée a été entendue par la juge de paix aux audiences des 7 janvier et 11 février 2025. Pour le surplus, dans l’attente des résultats de l'expertise mise en œuvre par la décision entreprise, l'autorité de protection s'est fondée sur un rapport du médecin traitant, le Dr [...], du 15 janvier 2025. Ce rapport est suffisant au stade des mesures provisionnelles. L’ordonnance entreprise étant formellement valable, elle peut être examinée sur le fond.</w:t>
      </w:r>
    </w:p>
    <w:p>
      <w:r>
        <w:rPr>
          <w:b/>
        </w:rPr>
        <w:t>E. 3.1</w:t>
      </w:r>
    </w:p>
    <w:p>
      <w:r>
        <w:t>Le recourant conteste la nécessité d'une curatelle, estimant que son père ne souffre d’aucune altération psychique et qu’il est tout à fait capable de gérer ses affaires. Il soutient par ailleurs que la personne concernée dispose de tout son discernement et qu'elle n'est pas influençable. Il dénigre le médecin traitant, dont l'avis n'aurait « pas grande valeur car depuis près de 25 ans [...] il n'a soigné personne dans [leur] famille » . Il conteste ensuite les faits de mauvaise gestion qui lui sont imputés dans la décision entreprise, répétant que ses parents ont la volonté « de faire don de leur patrimoine » . Il admet qu'il a une procuration sur les comptes de son père. Il ajoute que celui-ci lui a fait don de 50'000 fr. par versement du 3 janvier 2025, puis qu’il a requis le versement en cash des montants de 80'000 fr., et 100'000 francs. Le recourant aurait donc effectué le transfert de ces sommes des comptes de son père vers le sien en janvier 2025 « en prévision du blocage de ces comptes » . Enfin, il reproche à la juge de paix de considérer « dans la même phrase » que son père n’est pas conscient de la situation et en même temps qu’il a toujours su gérer lui-même ses affaires.</w:t>
      </w:r>
    </w:p>
    <w:p>
      <w:r>
        <w:rPr>
          <w:b/>
        </w:rPr>
        <w:t>E. 3.1.4</w:t>
      </w:r>
    </w:p>
    <w:p>
      <w:r>
        <w:t>; JdT 2005 III 51).</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pp. 398 et 399). Par « troubles psychiques », on entend toutes les pathologies mentales reconnues en psychiatrie, soit les psychoses et les psychopathies ayant des causes physiques ou non, ainsi que les démences (Meier, Droit de la protection de l'adulte, op. cit. ,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BSK Zivilgesetzbuch l, op. cit. ,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Meier, Droit de la protection de l'adulte, op. cit. ,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I’adulte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1 127 ; TF 5A_844/2017 du 15 mai 2018 consid. 3.1).</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5A_713/2015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BSK Zivilgesetzbuch l, op. cit. , n. 31 ad art. 394 CC, p. 2460 ; Meier, CommFam, n. 12 ad art. 395 CC, p. 453). S'agissant des actes touchés par la restriction des droits civils, la mesure instituée peut être assimilée à une curatelle de portée générale (Meier, CommFam, n. 33 ad art. 394 CC, p. 444).</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il ne s'agit pas d'une curatelle combinée au sens de l'art. 397 CC, mais d'une seule et même mesure. En effet, la curatelle de gestion n'est qu'une forme spéciale de curatelle de représentation (Meier, Droit de la protection de l'adulte, op. cit. ,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 et 836, pp. 447 et 448 ; ATF 140 III 1 ; TF 5A_417/2018 du 17 octobre 2018 consid 4.2.2; TF 5A_192/2018 du 30 avril 2018 consid. 3.1). Selon l'art. 395 al. 3 CC, même si elle décide de ne pas limiter l'exercice des droits civils de la personne concernée, l'autorité de protection de l'adulte peut la priver de la faculté d'accéder à certains éléments de son patrimoine afin de la protéger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w:t>
      </w:r>
    </w:p>
    <w:p>
      <w:r>
        <w:rPr>
          <w:b/>
        </w:rPr>
        <w:t>E. 3.3</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p. 903). S’agissant d’une mesure provisoire, il suffit que la cause et la condition soient réalisées à première vue (CCUR 4 mars 2021/59 consid.</w:t>
      </w:r>
    </w:p>
    <w:p>
      <w:r>
        <w:rPr>
          <w:b/>
        </w:rPr>
        <w:t>E. 3.4</w:t>
      </w:r>
    </w:p>
    <w:p>
      <w:r>
        <w:t>En l'espèce, Y.________ est âgé de 87 ans. Il vit seul depuis que son épouse a été placée en EMS. Il gère ses affaires financières avec l’aide de son fils, X.________, qui dispose d’une procuration sur ses comptes. Il ressort tant des procès-verbaux des audiences que de l’ordonnance contestée que l’autorité de protection a constaté que la personne concernée avait des difficultés de compréhension, son fils C.________ ayant été contraint de lui expliquer à plusieurs reprises la teneur des questions qui lui étaient adressées. Pour le surplus, c’est en vain que le recourant fait valoir qu’il ne pourrait être donné aucun crédit au rapport du médecin traitant. En effet, aucun élément ne laisse penser que ce médecin serait incapable de se prononcer sur l’état de santé de la personne concernée ; il suit ce patient depuis plus de 25 ans et l’a rencontré en dernier lieu en janvier 2025 ; il a établi un rapport nuancé, détaillé et actuel de la situation. A cela s’ajoute que, lors de son audition du 11 février 2025, Y.________ a confirmé être allé voir son médecin, indiquant que « tout allait bien », sans émettre la moindre critique à l’égard de son médecin. Dans l’attente de l’expertise psychiatrique à intervenir, le rapport du Dr [...] apparaît donc suffisant pour évaluer la situation de la personne concernée. Ce médecin relève que, compte tenu des antécédents cérébro-vasculaires de son patient (AVC), l'éventualité d'un déclin neurocognitif en constitution ne saurait être exclue. Il ajoute que l’état de santé actuel d’Y.________ obère quelque peu sa capacité de discernement et de gestion de ses affaires personnelles, si bien qu’une curatelle de gestion paraît opportune. Enfin, on relèvera que c’est parce que le médecin traitant craignait que son patient ne comprenne pas le sens de la démarche, qu’il a demandé à être délié du secret médical par le médecin cantonal. Enfin, contrairement à ce qu’il soutient aujourd’hui dans le cadre de son recours, le recourant aurait lui-même dit au SCTP que son père n’était pas en mesure d’échanger avec ce service « au vu de sa capacité de compréhension altérée » (courrier du SCTP du 29 novembre 2024). Au vu de ces éléments et au stade des mesures provisionnelles, l’existence d’une cause de curatelle doit être reconnue . S’agissant du besoin de protection, il y a lieu de constater qu’au vu des événements de ces derniers mois, le comportement du recourant vis-à-vis de la personne concernée est inquiétant. En effet, en novembre 2024, il a été relevé du mandat de curateur de sa mère, l’autorité de protection craignant que l’intéressé n’effectue un retrait d’un montant de 200'000 fr. sur le compte de celle-ci pour une donation dont lui et son frère seraient les bénéficiaires. Si depuis lors le recourant a demandé à retrouver ce titre, il ne soutient pas avoir contesté en justice la décision en question. Depuis lors, il a effectué d’importants retraits sur le compte de son père, soit 50'000 fr. le 3 janvier 2025 – dont il prétend qu’il s’agirait d’une donation – 80'000 fr. le 7 janvier 2025 et 100'000 fr. le 23 janvier 2025, sommes qu’il aurait d’abord transférées sur un compte lui appartenant avant de les restituer en cash à son père selon des attestations qu’il a produites, qui sont datées des 12 janvier 2025 et 23 janvier 2025 et signées par Y.________. Les explications du recourant au sujet de ces virements laissent toutefois perplexe. En effet, il a tout d’abord expliqué à son frère qu’il avait agi de la sorte pour « séparer le solde et faciliter les transactions », mais qu’il n'avait pas eu le temps d’ouvrir un nouveau compte au nom de son père, raison pour laquelle il aurait transféré les montants sur son propre compte. A l’audience du 11 février 2025, il a avancé une autre explication, exposant qu’il avait agi sur demande de son père, lequel souhaitait obtenir cet argent en cash pour éviter que la justice ne prenne possession de son patrimoine. Quoiqu’il en soit, on ne comprend pas pour quelle raison il eût été nécessaire que ces montants transitent par un compte appartenant au recourant. En effet, avant les transactions, ces montants se trouvaient sur des comptes appartenant à la personne concernée et auxquels le SCTP n’avait pas accès. Ils n’étaient donc aucunement « menacés » et aucun élément ne permet d’expliquer pour quelle raison ils devaient être à ce point rapidement transférés que le recourant se serait senti « obligé » de les transférer sur son propre compte. A cela s’ajoute qu’X.________ s’est montré particulièrement agressif et inadéquat lors des audiences de la justice de paix. Parlant pour son père, il a indiqué que celui-ci ferait valoir son droit au silence, avant d’être invité à quitter la salle d’audience un moment en raison de son comportement intempestif. Au moment d’être réintroduit, il avait disparu. Force est de constater que le recourant entend conserver la maitrise du patrimoine de ses parents. Or, au vu des troubles cognitifs avérés de la mère et des difficultés de compréhension de son père, il n’est pas établi que les parents aient consenti à de tels actes. A cela s’ajoute qu’une dilapidation de la fortune de la personne concernée ne serait de toute manière pas dans l'intérêt bien compris de celle-ci, qui aura besoin de son argent pour assurer son entretien convenable et celui de son épouse. A ce stade, on ignore si les capacités de la personne concernée lui permettent de saisir les répercussions d’importantes donations à ses enfants sur sa situation et sur ses droits vis-à-vis des institutions sociales. Comme l’a exposé le SCTP, un dessaisissement de leur fortune par les parents pourrait conduire les assurances sociales à leur refuser des prestations complémentaires et placer le couple dans l’impossibilité de s’acquitter des factures d'EMS notamment. Le recourant admettant avoir procuration sur les comptes de son père et y avoir prélevé de grosses sommes, il est en conséquence urgent de protéger les intérêts de la personne concernée par l’institution d’une curatelle provisoire et de restreindre l’accès de la personne protégée à ses biens. Considérant la vulnérabilité d’Y.________, c’est à juste titre que la juge de paix lui a également provisoirement retiré l’exercice de ses droits civils en matière d’affaires juridiques, afin qu’il ne puisse pas s’obliger par des contrats ayant une répercussion sur sa situation financière. La curatelle étant provisoire, pour la durée de l’enquête, la mesure litigieuse paraît proportionnée, afin d’éviter le risque de dilapidation de la fortune de la personne concernée. Pour le surplus, le recourant n’émet pas de critique particulière à l’encontre de la personne désignée comme curatrice provisoire, laquelle paraît présenter les qualifications requises (art. 400 CC). Au vu de ce qui précède, force est de constater qu’au stade de la vraisemblance, tant la cause que la condition d’une curatelle paraissent réunies. Le grief est ainsi manifestement infondé et la mesure provisoire ordonnée doit être confirmée. Au demeurant, on rappellera que la situation sera quoi qu’il en soit réexaminée ultérieurement, notamment à la lumière des conclusions de l’expertise à intervenir prochainement.</w:t>
      </w:r>
    </w:p>
    <w:p>
      <w:r>
        <w:rPr>
          <w:b/>
        </w:rPr>
        <w:t>E. 4</w:t>
      </w:r>
    </w:p>
    <w:p>
      <w:r>
        <w:t>En conclusion, le recours, manifestement mal fondé, doit être rejeté et l'ordonnance attaquée confirmée. Les frais judiciaires de deuxième instance, arrêtés à 600 fr. (art. 74a al. 1 TFJC [tarif du 28 septembre 2010 des frais judiciaires civils ; BLV 270.11.5]), sont mis à la charge du recourant qui succombe (art. 106 al. 1 CPC, applicable par renvoi des art. 450f CC et 12 al. 1 CPC). Par ces motifs, la Chambre des curatelles du Tribunal cantonal, statuant à huis clos, prononce : I. Le recours est rejeté . II. L’ordonnance de mesures provisionnelles est confirmée. III. Les frais judiciaires de deuxième instance, par 600 fr. (six cents francs), sont mis à la charge d’X.________. IV. L’arrêt est exécutoire. La présidente :              La greffière : Du L'arrêt qui précède, dont la rédaction a été approuvée à huis clos, est notifié à : ‑ M. X.________, ‑ M. Y.________, - SCTP, à l’att. de Mme G.________,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