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384 vom 7. Mai 2025</w:t>
      </w:r>
    </w:p>
    <w:p>
      <w:r>
        <w:t>VD Tribunal cantonal, 2025-05-07, FR</w:t>
      </w:r>
    </w:p>
    <w:p>
      <w:r>
        <w:rPr>
          <w:b/>
        </w:rPr>
        <w:t xml:space="preserve">Quelle: </w:t>
      </w:r>
      <w:r>
        <w:t>https://mcp.opencaselaw.ch/entscheid/vd_findinfo_Arr_t___2025___384</w:t>
      </w:r>
    </w:p>
    <w:p>
      <w:r>
        <w:t>FR: VD_FINDINFO Arrêt / 2025 / 384 du 7 mai 2025</w:t>
      </w:r>
    </w:p>
    <w:p>
      <w:r>
        <w:t>IT: VD_FINDINFO Arrêt / 2025 / 384 del 7 maggio 2025</w:t>
      </w:r>
    </w:p>
    <w:p>
      <w:pPr>
        <w:pStyle w:val="Heading2"/>
      </w:pPr>
      <w:r>
        <w:t>Regeste</w:t>
      </w:r>
    </w:p>
    <w:p>
      <w:r>
        <w:t>SURVEILLANCE, ADÉQUATION, INTÉRÊT DE L'ENFANT, REJET DE LA DEMANDE | 307 al. 3 CC, 450 CC</w:t>
      </w:r>
    </w:p>
    <w:p>
      <w:pPr>
        <w:pStyle w:val="Heading2"/>
      </w:pPr>
      <w:r>
        <w:t>Erwägungen</w:t>
      </w:r>
    </w:p>
    <w:p>
      <w:r>
        <w:rPr>
          <w:b/>
        </w:rPr>
        <w:t>E. 1</w:t>
      </w:r>
    </w:p>
    <w:p>
      <w:r>
        <w:t>CC, est ouvert à la Chambre des curatelles (art. 8 LVPAE et 76 a. 2 LOJV [loi d'organisation judiciaire du 12 décembre 1979 ; BLV 173.011)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l, Art. 1-456 ZGB, 7 e éd., Bâle 2022 [ci-après : BSK ZGB l],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l,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1.1</w:t>
      </w:r>
    </w:p>
    <w:p>
      <w:r>
        <w:t>Le recours est dirigé contre une décision de la justice de paix instituant une mesure de surveillance judiciaire au sens de l’art. 307 al. 3 CC.</w:t>
      </w:r>
    </w:p>
    <w:p>
      <w:r>
        <w:rPr>
          <w:b/>
        </w:rPr>
        <w:t>E. 1.2</w:t>
      </w:r>
    </w:p>
    <w:p>
      <w:r>
        <w:t>Contre une telle décision, le recours de l'art. 450 CC, applicable par renvoi de l'art. 314 al.</w:t>
      </w:r>
    </w:p>
    <w:p>
      <w:r>
        <w:rPr>
          <w:b/>
        </w:rPr>
        <w:t>E. 1.3</w:t>
      </w:r>
    </w:p>
    <w:p>
      <w:r>
        <w:t>En l’espèce, motivé et interjeté en temps utile par la mère des mineurs concernés, partie à la procédure, le recours est recevable en la forme. Il en va de même des pièces produites en deuxième instance, si tant est qu’elles ne figurent pas déjà au dossier. Le recours étant manifestement mal fondé, au vu des considérations qui seront développées ci-après, il a été renoncé à consulter l’autorité de protection, de même que le père des enfants et la DGEJ.</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w:t>
      </w:r>
    </w:p>
    <w:p>
      <w:r>
        <w:rPr>
          <w:b/>
        </w:rPr>
        <w:t>E. 2.3</w:t>
      </w:r>
    </w:p>
    <w:p>
      <w:r>
        <w:t>En l’espèce, la juge de paix a procédé à l’audition des parents et de la DGEJ à son audience du 20 septembre 2024. Les comparants n’ont pas souhaité être réentendus par la justice de paix in corpore . Le droit d’être entendu de chacun a donc été respecté. Les enfants, âgés de moins de six ans, n’ont pas été entendus par l’autorité de protection, étant trop jeunes (TF 5A_534/2015 du 3 août 2015 consid. 3.3). Ils ont cependant été vus par la DGEJ. La décision entreprise est donc formellement correcte et peut être examinée sur le fond.</w:t>
      </w:r>
    </w:p>
    <w:p>
      <w:r>
        <w:rPr>
          <w:b/>
        </w:rPr>
        <w:t>E. 3.1</w:t>
      </w:r>
    </w:p>
    <w:p>
      <w:r>
        <w:t>Invoquant une constatation fausse ou inexacte des faits ainsi qu’une violation de l’art. 307 CC et de l’interdiction de l’arbitraire, la recourante s’oppose à une mesure « aussi intrusive » qu’une mesure de surveillance judiciaire. Elle fait valoir que « les faits concrets censés justifier cette enquête ne sont jamais clairement établis », que lors d’un entretien qu’elle a eu avec la DGEJ en février 2025, elle a décliné la proposition d’AEMO, et qu’elle a dès lors refusé de se rendre à la convocation que lui a ensuite adressée la DGEJ en vue de la mise en place de cette mesure. Elle reproche à la DGEJ d’avoir, sans décision judiciaire, persisté dans ses démarches, malgré son refus qui aurait dû être transmis à la justice de paix qui n’avait pas encore envoyé sa décision. Elle soutient qu’il n’est pas établi que les conflits parentaux auraient provoqué un climat d’insécurité affective pour les enfants, que la DGEJ n’a observé aucune négligence dans la prise en charge domestique de ceux-ci, que la situation s’est apaisée depuis la séparation, que l’audience n’a pas montré de difficultés de collaboration des parents et que la DGEJ avait d’ailleurs reconnu qu’il n’y avait pas besoin d’un suivi immédiat au Centre de consultation [...]. La recourante soutient ainsi que la condition de « danger concret et actuel » de l’art. 307 CC n’est pas réalisée. Elle reproche ensuite à la justice de paix d’avoir suivi le rapport de la DGEJ sans analyse indépendante, faisant au demeurant valoir que celui-ci n’était plus d’actualité au moment de la notification de la décision. Elle voit aussi une violation de son droit d’être entendue dans le fait que les allégations de danger de la DGEJ n’ont pas été « débattues » à l’audience.</w:t>
      </w:r>
    </w:p>
    <w:p>
      <w:r>
        <w:rPr>
          <w:b/>
        </w:rPr>
        <w:t>E. 3.2.1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 e éd., Bâle 2019, n. 1682, p. 1095, note infrapaginale n. 3913).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 e éd., Berne 2012, n. 5.2.1.3, p. 814).</w:t>
      </w:r>
    </w:p>
    <w:p>
      <w:r>
        <w:rPr>
          <w:b/>
        </w:rPr>
        <w:t>E. 3.2.2</w:t>
      </w:r>
    </w:p>
    <w:p>
      <w:r>
        <w:t>L’art. 307 al. 1 CC confie à l’autorité de protection le soin de prendre les mesures nécessaires pour protéger l’enfant si son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 (art. 307 al. 2 CC). Quant à la subsidiarité des mesures prévues à l’art. 307 CC par rapport aux curatelles de l’art. 308 CC, ce sont essentiellement les critères de mise en danger et de la capacité à coopérer des père et mère qui guideront l’autorité dans le choix de la bonne mesure à prendre (Meier, in Pichonnaz/Foëx/Fountoulakis [éd.], Commentaire romand, Code civil I, Art. 1-456 CC, 2 e éd., Bâle 2024 [ci-après : CR CC I], n.19 ad art. 307 CC, p. 2197 et les arrêts cités).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Dans l’exécution de sa mission préventive, l’autorité de protection de l’enfant jouit d’un large pouvoir d’appréciation quant au choix du mode d’intervention. Elle peut, selon le texte de la loi, en particulier rappeler les père et mère à leurs devoirs, donner des indications ou des instructions relatives au soin, à l’éducation et à la formation, et désigner une personne ou un office qualifié qui aura un droit de regard et d’information (art. 307 al. 3 CC) ; la formulation de la loi étant ouverte, la liste des mesures proposées n’est pas exhaustive (CCUR 24 février 2021/52 ; Choffat, Panorama sur les curatelles de protection du mineur et les mesures de protection moins incisives, Revue de l’avocat 9/2017, p. 378).</w:t>
      </w:r>
    </w:p>
    <w:p>
      <w:r>
        <w:rPr>
          <w:b/>
        </w:rPr>
        <w:t>E. 3.2.3</w:t>
      </w:r>
    </w:p>
    <w:p>
      <w:r>
        <w:t>L’institution d’un mandat de surveillance présuppose donc, comme pour toute mesure de protection, que le développement de l’enfant soit menacé. Il y a danger lorsque l’on doit sérieusement craindre, d’après les circonstances, que le bien-être corporel, intellectuel et moral de l’enfant ne soit compromis. Il n’est toutefois pas nécessaire qu’il y ait eu une atteinte effective (Meier, CR CC I, op. cit. , n. 5 ad art. 307 CC, p. 2192). Les causes du danger sont indifférentes ; elles peuvent tenir à l’inexpérience, la maladie, l’absence des parents, des prédispositions ou une conduite nuisible de l’enfant, des parents ou de l’entourage (Meier/Stettler, op. cit. , n. 1703, p. 1110). Les dissentions des père et mère entre eux, même si elles ne portent pas directement sur des questions qui ont trait à l’enfant, peuvent représenter un danger pour celui-ci lorsqu’il est impliqué dans les conflits ou témoin de violences verbales ou physiques graves et répétées (Meier, CR CC I, op. cit. , n. 6 ad art. 307 CC, p. 2192). Pour éviter l’intervention des autorités, les parents doivent remédier à la situation, par exemple en acceptant l’assistance des institutions d’aide à la jeunesse (CCUR 24 février 2021/52 ; Hegnauer, Droit suisse de la filiation et de la famille, 4 e éd., Berne 1998, adaptation française par Meier, n. 27.14, p. 186).</w:t>
      </w:r>
    </w:p>
    <w:p>
      <w:r>
        <w:rPr>
          <w:b/>
        </w:rPr>
        <w:t>E. 3.2.4</w:t>
      </w:r>
    </w:p>
    <w:p>
      <w:r>
        <w:t>Le mandat de surveillance n’est pas défini par la loi. Selon la doctrine, la personne ou l’office désigné n’a pas de pouvoirs propres et doit surveiller l’enfant conformément aux instructions de l’autorité de protection, à laquelle elle fait rapport et, le cas échéant, propose de prendre des mesures plus importantes ; elle a un droit de regard et peut recueillir des renseignements auprès des intéressés et des tiers dans la mesure nécessaire à l’accomplissement de sa mission (Meier, CR CC I, op. cit. , n. 18 et 19 ad art. 307 CC, p. 2197 ; Hegnauer, op. cit. , n. 27.17, p. 187). Une mesure de surveillance est en particulier indiquée lorsque, sans motifs suffisants pour ordonner une curatelle conformément à l’art. 308 CC, l’autorité de protection de l’enfant a des doutes sur les capacités éducatives d’un parent ( ibidem ). La surveillance prévue à l’art. 307 CC est une mesure de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5A_156/2016 du 12 mai 2017 consid. 4.2 et 4.3 ; 5A_476/2016 du 21 septembre 2016 consid. 5.2.1 ; 5A _732/2014 du 26 février 2015 consid. 4.3 ; Hegnauer, op. cit. , nn. 27.19-27.19a, pp. 188-189). Tout comme la curatelle d’assistance éducative, la mesure de surveillance au sens de l’art. 307 CC s’exerce sur l’enfant et non sur le détenteur de l’autorité parentale (CCUR 24 février 2021/52 ; CTUT 13 janvier 2010/8 consid. 3.a et les arrêts cités).</w:t>
      </w:r>
    </w:p>
    <w:p>
      <w:r>
        <w:rPr>
          <w:b/>
        </w:rPr>
        <w:t>E. 3.3</w:t>
      </w:r>
    </w:p>
    <w:p>
      <w:r>
        <w:t>En l’espèce, il sied au préalable de relever que la mesure de protection instituée en faveur des enfants E.X.________ et I.X.________ est la moins incisive de tout le panel de mesures prévues dans le Code civil et qu’au regard des principes développés ci-dessus ( supra consid. 3.2), elle consiste uniquement à confier à la DGEJ un droit de regard et d’information, pas même le droit de donner des instructions aux parents. Il s’agit ainsi, pour le service désigné, de s’enquérir régulièrement de la situation des enfants auprès du réseau, de les rencontrer dans leur milieu et de faire rapport à l’autorité de protection sans pouvoir interférer, à ce stade, dans les décisions prises par les parents qui relèvent des prérogatives des détenteurs de l’autorité parentale. Il est vrai qu’un délai de quelques mois s’est écoulé entre la prise de la décision attaquée le 22 octobre 2024 et son envoi pour notification le 3 mars 2025. Cela étant, le seul élément nouveau intervenu dans l’intervalle est le changement de posture de la mère, qui n’est plus d’accord avec le suivi AEMO auquel elle avait pourtant adhéré en audience. On peut difficilement y voir un élément positif et rassurant dans l’appréciation de la situation et de la nécessité d’une mesure de protection de l’enfant. La recourante minimise aujourd’hui les problèmes qui ont motivé le signalement de l’équipe de pédiatrie de l’Hôpital de [...], puis l’appréciation de la DGEJ : conflits violents entre les parents devant les enfants, mère en difficulté psychologique et parents émettant des doutes sur les compétences éducatives de l’autre. Tout cela a pourtant été admis par les parents, de sorte qu’on ne saurait suivre la recourante lorsqu’elle prétend que ces faits ne seraient pas établis. On ne peut pas non plus soutenir qu’il n’est pas établi que ces tensions ont eu un impact sur les enfants. Tout d’abord, il est notoire que l’exposition d’enfants aux conflits parentaux relève de la maltraitance directe et qu’une telle situation a forcément des répercussions sur les mineurs, à plus forte raison lorsque ceux-ci sont encore très jeunes, comme en l’espèce. A cet égard, il ressort du rapport de la DGEJ qu’E.X.________ présentait parfois des moments de crise, survenant tant chez la mère que chez le père, qui étaient mis en lien avec la situation familiale. La direction précitée a également observé que les enfants concernés se disputaient l’attention de leurs parents. Ces éléments constituent des indices de l’insécurité affective des enfants. La recourante soutient que, depuis le rapport de la DGEJ, la situation s’est pacifiée ; on peut l’admettre et c’est d’ailleurs le motif pour lequel il a été renoncé aux autres mesures qui étaient proposées (suivi individuel des parents et suivi au Centre de consultation [...]) par la DGEJ. Dans le cas contraire, ce sont, selon toute vraisemblance, des mesures de protection plus conséquentes qu’une simple surveillance judiciaire qui auraient été prises par la justice de paix. En ce sens, la décision litigieuse a déjà tenu compte d'une certaine évolution positive intervenue depuis le signalement. De plus, la recourante ne dit pas ce qui aurait changé depuis l’audience du 20 septembre 2024 – à part son avis sur le suivi AEMO et la mesure de protection. Elle indique d’ailleurs expressément dans son acte de recours que la notification de la « décision intervient plus de cinq mois après l’audience, sans qu’aucun fait nouveau ne soit apparu entre-temps » (recours, p. 2). Par exemple, elle ne soutient pas que les parents auraient conclu une convention réglant leur vie séparée – si une garde alternée s’exerce dans les faits de manière informelle, cela était déjà le cas lorsque les parties ont été entendues en audience et ne constitue donc pas un fait nouveau. Il en va de même de la séparation des parties, circonstance déjà connue au moment du rapport de la DGEJ. On ne saurait d’ailleurs déduire de la séparation du couple parental que toute mise en danger du bien-être des enfants serait écartée, notamment l’exposition à de futures tensions entre les parents. Il reste en effet à observer si les parties sauront se montrer capables, à l’avenir, d’exercer adéquatement leur coparentalité, de communiquer sereinement et d’assurer le bon développement de leurs enfants dans un environnement adéquat, sans réitération des négligences qui avaient constatées notamment au niveau du logement, du transport et de l’exposition à de violents conflits. Il est donc un peu prématuré, à ce stade, de retenir que tout va bien et de renoncer à toute mesure de protection des enfants, une observation de l’évolution de la situation de ces derniers étant encore opportune et justifiée ; la mesure de surveillance litigieuse est dès lors proportionnée. Celle-ci a ainsi pour but de permettre à la DGEJ de continuer à exercer un droit de regard et d’information sur la situation des mineurs concernés, afin de s’assurer que ceux-ci évoluent favorablement, auprès de chacun des parents. Il est au demeurant manifeste que le soudain revirement de la recourante dans son positionnement face à l’intervention de la DGEJ et au suivi éducatif proposé, tout comme sa minimisation des éléments de danger ressortant du signalement et du rapport de la DGEJ, ne sont pas de nature à rassurer la Chambre de céans et confortent au contraire sa position qu’une supervision de la situation est encore nécessaire. Enfin, la mère, qui avait connaissance du rapport de la DGEJ et était assistée d’une avocate à l’audience de la juge de paix, ne peut se plaindre d’une violation de son droit d’être entendue s’agissant des mises en danger relevées par la DGEJ dans son rapport d’appréciation. Elle a en effet eu l’occasion de contester la teneur dudit rapport lors de l’audience, ce qu’elle n’a pas fait, puisqu’à ce stade, elle reconnaissait la nécessité de l’intervention de la DGEJ et de la mise en place d’une AEMO. Il résulte de ce qui précède qu’une mesure de surveillance judiciaire est adéquate et justifiée, en l’état, de sorte que celle-ci doit être confirmée. Les contours de cette mesure sont suffisamment définis par le cadre légal et par la décision entreprise, de sorte qu’il n’y a pas lieu d’être plus précis sur les tâches confiées à la DGEJ ; la recourante ne dit d’ailleurs pas ce qu’elle voudrait exactement sur ce point. Pour le surplus, la situation et l’adéquation de la mesure pourront, le cas échéant, être revues ultérieurement, notamment dans le cadre de la remise périodique du rapport d’activité de la DGEJ.</w:t>
      </w:r>
    </w:p>
    <w:p>
      <w:r>
        <w:rPr>
          <w:b/>
        </w:rPr>
        <w:t>E. 4</w:t>
      </w:r>
    </w:p>
    <w:p>
      <w:r>
        <w:t>En conclusion, le recours, manifestement infondé, doit être rejeté et la décision entreprise confirmée. Le présent arrêt peut être rendu sans frais judiciaires de deuxième instance (art. 74a al. 4 TFJC [tarif du 28 septembre 2010 des frais judiciaires civils ; BLV 270.11.5]). Dès lors qu’aucuns frais ne sont mis à la charge de la recourante et que celle-ci a agi sans l’assistance d’un mandataire professionnel, sa requête d’assistance judiciaire est sans objet. Par ces motifs, la Chambre des curatelles du Tribunal cantonal, statuant à huis clos, prononce : I. Le recours est rejeté. II. La décision est confirmée. III. La requête d’assistance judiciaire de la recourante est sans objet. IV. L'arrêt, rendu sans frais judiciaires de deuxième instance, est exécutoire. La présidente :              La greffière : Du L'arrêt qui précède, dont la rédaction a été approuvée à huis clos, est notifié à : ‑ Mme K.________, - M. A.X.________, ‑ Direction générale de l’enfance et de la jeunesse, ORPM [...], et communiqué à : ‑ Mme la Juge de paix du district de Morges,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