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378 vom 12. Mai 2025</w:t>
      </w:r>
    </w:p>
    <w:p>
      <w:r>
        <w:t>VD Tribunal cantonal, 2025-05-12, FR</w:t>
      </w:r>
    </w:p>
    <w:p>
      <w:r>
        <w:rPr>
          <w:b/>
        </w:rPr>
        <w:t xml:space="preserve">Quelle: </w:t>
      </w:r>
      <w:r>
        <w:t>https://mcp.opencaselaw.ch/entscheid/vd_findinfo_Arr_t___2025___378</w:t>
      </w:r>
    </w:p>
    <w:p>
      <w:r>
        <w:t>FR: VD_FINDINFO Arrêt / 2025 / 378 du 12 mai 2025</w:t>
      </w:r>
    </w:p>
    <w:p>
      <w:r>
        <w:t>IT: VD_FINDINFO Arrêt / 2025 / 378 del 12 maggio 2025</w:t>
      </w:r>
    </w:p>
    <w:p>
      <w:pPr>
        <w:pStyle w:val="Heading2"/>
      </w:pPr>
      <w:r>
        <w:t>Regeste</w:t>
      </w:r>
    </w:p>
    <w:p>
      <w:r>
        <w:t>LOI FÉDÉRALE SUR L'ASSURANCE-INVALIDITÉ, RENTE POUR ENFANT, RESTITUTION{EN GÉNÉRAL}, DROIT D'ÊTRE ENTENDU, MESURE D'INSTRUCTION{ASSURANCE SOCIALE} | 35 LAI, 43 LPGA, 49 al. 3 LPGA</w:t>
      </w:r>
    </w:p>
    <w:p>
      <w:pPr>
        <w:pStyle w:val="Heading2"/>
      </w:pPr>
      <w:r>
        <w:t>Erwägungen</w:t>
      </w:r>
    </w:p>
    <w:p>
      <w:r>
        <w:rPr>
          <w:b/>
        </w:rPr>
        <w:t>E. 12</w:t>
      </w:r>
    </w:p>
    <w:p>
      <w:r>
        <w:t>mai 2025 ________________________ Composition :               Mme Berberat , juge unique Greffière :              Mme Simonin ***** Cause pendante entre : C.________ , à Bex, recourante, et I.________ , à Vevey, intimé. _______________ Art. 35 LAI, 43, 49 al. 3 LPGA E n  f a i t  : A. Dans un courrier du 26 juin 2024, la Caisse cantonale vaudoise de compensation AVS (ci-après : la CCVD ou l’intimée) a informé C.________ (ci-après également : la recourante), née le 24 juillet 2004, que, d’après l’attestation de formation qu’elle avait produite, le versement de la rente pour enfant liée à la rente d’invalidité de son père dont elle bénéficiait, d’un montant mensuel de 179 fr. arrivait à échéance le 31 juillet 2024. La CCVD invitait l’intéressée à lui faire parvenir une nouvelle attestation, pour l’éventualité où elle allait poursuivre une formation. Par courriel du 22 juillet 2024, l’employeur de [...], mère de C.________, a transmis à la CCVD un contrat d’apprentissage d’employée de commerce conclu le 17 juillet 2024 entre C.________ et l’entreprise [...], pour la période du 1 er août 2024 au 31 juillet 2027. L’apprentissage n’a toutefois pas pu débuter, car le contrat d’apprentissage n’a pas été validé par la Direction générale de l’enseignement post-obligatoire (ci-après : DGEO). Dans une décision du 19 septembre 2024, intitulée « Rente AI Décision de restitution », l’OAI a écrit ce qui suit : En date du 9 septembre 2024, vous nous avez informés que votre contrat d’apprentissage débutant le 1 er août 2024 n’a pas été validé par l’autorité cantonale. De ce fait, ce contrat d’apprentissage n’est pas valide et le droit à la rente pour enfant ne peut vous être reconnu. Par conséquent, cette prestation de CHF 179 est supprimée avec effet au 1 er août 2024. Le décompte des rentes versées à tort est le suivant : Période Montant mensuel CHF Montant total CHF 01.08.2024 au 30.09.2024 179.00 358.00 Rentes pour enfants à verser à la fratrie - 348.00 Solde en notre faveur 10.00 Nous vous saurions gré de bien vouloir nous rembourser le montant total ci-dessus au moyen du bulletin de versement annexé, dans les 30 jours. Dans un courrier du 10 octobre 2024 à la CCVD, C.________ a demandé l’annulation de la décision du 19 septembre 2024 portant sur la restitution de la rente versée d’août à septembre 2024. Elle expliquait que bien que la DGEO n’ait pas validé son contrat d’apprentissage, l’école professionnelle [...] avait accepté qu’elle commence les cours en attendant de trouver un nouveau contrat d’apprentissage. L’intéressée a expliqué qu’elle avait donc été en formation dans cette école du 19 août au 15 septembre 2024, fournissant une attestation de ladite école. Elle ajoutait que ne disposant d’aucun revenu, elle n’avait pas les moyens de restituer le montant demandé. Le 11 octobre 2024, a été annexé au dossier de C.________ un contrat conclu entre cette dernière et le Centre social régional [...] (ci-après : CSR) dans lequel elle s’engageait à participer à la mesure d’insertion sociale « Jobtrek » prévue du 9 octobre 2024 au 31 juillet 2025. Par décision du 15 octobre 2024, l’OAI a versé une rente pour enfant en faveur de C.________ à compter du 1 er octobre 2024, d’un montant mensuel de 179 francs. B. Par lettre du 16 octobre 2024, la CCVD a transmis le courrier du 10 octobre 2024 de C.________ à la Cour des assurances sociales du Tribunal cantonal, comme objet de sa compétence. Dans sa réponse du 11 novembre 2024, l’OAI a conclu au rejet du recours, en se référant à un courrier de la CCVD du 1 er novembre 2024 qu’il a produit et auquel il s’est rallié. Dans ce courrier, la CCVD a expliqué n’avoir pas pu considérer que la recourante était encore en formation en août et septembre 2024, dès lors qu’elle avait uniquement suivi des cours à l’école professionnelle [...] ; or, cela ne permettait largement pas d’atteindre les 20 heures par semaine requis par la Directive sur les rentes (DR) de l’assurance vieillesse, survivants et invalidité fédérale, établie par l’Office fédéral des assurances sociales (ci-après : OFAS). La recourante ne s’est pas déterminée sur cette écriture.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l’espèce, la recourante a contesté la décision de l’OAI du 19 septembre 2024 par un courrier du 10 octobre 2024 à la CCVD, que cette dernière a transmis le 16 octobre 2024 à la Cour de céans comme objet de sa compétence. Dès lors, déposé en temps utile auprès d’un organe de mise en œuvre des assurances sociales (cf. art. 30 LPGA), et respectant les autres conditions formelles prévues par la loi (art. 61 let. b LPGA notamment), le recours est recevable. c) Vu la valeur litigieuse inférieure à 30’000 fr., la cause est de la compétence d’un membre de la Cour, statuant en tant que juge unique (art. 94 al. 1 let. a LPA-VD [loi cantonale vaudoise du 28 octobre 2008 sur la procédure administrative ; BLV 173.36]). On précise à cet égard que contrairement à ce que soutient l’OAI dans sa réponse du 11 novembre 2024, la valeur litigieuse correspond à la valeur d’une rente pour enfant en faveur de C.________ pour deux mois, c’est-à-dire les mois d’août et septembre 2024, ce qui correspond à un montant de 358 francs vu les pièces du dossier. Elle ne s’élève donc pas à 10 francs comme le soutient l’OAI dans sa réponse, dès lors que ni ce dernier, ni la CCVD ne remettent en cause le fait de devoir quoi qu’il en soit payer un montant de 348 fr. « à la fratrie », ainsi que cela ressort du décompte inclus dans la décision du 19 septembre 2024. 2. Le litige porte sur la question de savoir si c’est à juste titre que l’Office AI a prononcé la suppression, puis la restitution de la rente pour enfant en faveur de C.________ pour la période du 1 er août au 30 septembre 2024. 3. a) D’après l’art. 35 LAI, les hommes et les femmes qui peuvent prétendre à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Selon l’art. 25 LAVS (loi fédérale du 20 décembre 1946 sur l’assurance-vieillesse et survivants ; RS 831.10), les enfants dont le père ou la mère est décédé ont droit à une rente d’orphelin. En cas de décès des deux parents, ils ont droit à deux rentes d’orphelin (al. 1). Le droit à une rente d’orphelin prend naissance le premier jour du mois suivant le décès du père ou de la mère. Il s’éteint au 18 e anniversaire ou au décès de l’orphelin (al. 4). Pour les enfants qui accomplissent une formation, le droit à la rente s’étend jusqu’au terme de cette formation, mais au plus jusqu’à l’âge de 25 ans révolus. Le Conseil fédéral peut définir ce que l’on entend par formation (al. 5). Aux termes de l’art. 49 bis RAVS (règlement du 31 octobre 1947 sur l’assurance-vieillesse et survivants ; RS 831.101),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D’après l’art. 49 ter RAVS, la formation se termine avec un diplôme de fin d’étude ou un diplôme professionnel (al. 1). La formation est également considérée comme terminée lorsqu’elle est abandonnée ou interrompue ou lorsque le droit à une rente d’invalidité prend naissance (al. 2). b) Le chiffre 3118 DR, qui se rapporte aux rentes pour enfants de l’AVS et de l’AI, est libellé en ces termes :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Le chiffre 3119 DR prévoit ce qui suit :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20 heures au moins par semaine.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C’est le lieu de rappeler que 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146 V 233 consid. 4.2.1 ; ATF 145 V 84 consid. 6.1.1 et les références ; ATF 142 V 442 consid. 5.2). c) aa) Aux termes de l’art. 25 al. 1, première phrase, LPGA, les prestations indûment touchées doivent être restituées. La restitution ne peut être exigée lorsque l’intéressé était de bonne foi et qu’elle le mettrait dans une situation difficile. Les prestations allouées sur la base d’une décision formellement passée en force et sur laquelle une autorité judiciaire ne s’est pas prononcée sous l’angle matériel ne peuvent être restituées que lorsque les conditions d’une reconsidération (art. 53 al. 2 LPGA) ou d’une révision procédurale (art. 53 al. 1 LPGA) sont remplies (ATF 142 V 259 consid. 3.2). D’après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bb) D’après l’art. 17 al. 1 LAI, la rente d’invalidité est, d’office ou sur demande, révisée pour l’avenir, à savoir augmentée, réduite ou supprimée, lorsque le taux d’invalidité de l’assuré : subit une modification d’au moins 5 points de pourcentage (let. a), ou, atteint 100 % (let. b). Selon l’art. 17 al. 2 LPGA, de même, toute prestation durable accordée en vertu d’une décision entrée en force est, d’office ou sur demande, augmentée ou réduite en conséquence, ou encore supprimée si les circonstances dont dépendait son octroi changent notablement. L’art. 88 bis RAI (règlement du 17 janvier 1961 sur l’assurance-invalidité ; RS 831.201) prévoit que la diminution ou la suppression de la rente, de l’allocation pour impotent ou de la contribution d’assistance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(let. b). Pour l’application de l’art. 17 al. 2 LPGA, ce qui est déterminant, ce n’est pas le caractère périodique de la prestation d’assurance, mais son caractère durable. Ainsi par exemple, les indemnités journalières de l’assurance-accidents ont un caractère temporaire et leur adaptation n’est pas soumise aux conditions de la révision au sens de l’art.</w:t>
      </w:r>
    </w:p>
    <w:p>
      <w:r>
        <w:rPr>
          <w:b/>
        </w:rPr>
        <w:t>E. 17</w:t>
      </w:r>
    </w:p>
    <w:p>
      <w:r>
        <w:t>LPGA étaient remplies. Or, il s’agit là d’un point important de toute décision de restitution, comme cela découle de la jurisprudence du Tribunal fédéral rappelée ci-dessus. Cela étant, la question de savoir s’il s’agit d’un vice grave qui pourrait être réparé devant la Cour de céans peut demeurer indécise dès lors que la décision attaquée doit quoi qu’il en soit être annulée pour les raisons suivantes. b) En effet, l’OAI a retenu que la recourante n’avait pas le droit à une rente pour enfant durant les mois d’août et septembre 2024, au motif qu’elle n’avait effectué « que les cours à l’école professionnelle, ce qui n’attei[gnait] largement pas les 20 heures requis par semaine ». Or, aucun élément du dossier ne vient étayer cette affirmation. Ni l’OAI, ni la CCVD n’ont demandé à la recourante de produire un horaire des cours qu’elle a suivis durant cette période ou tout autre document permettant d’établir, au degré de la vraisemblance prépondérante, si le nombre d’heures de cours par semaine au sein de l’école professionnelle [...] atteignait ou non les 20 heures prévues au chiffre 3119 DR. Dès lors, sous cet angle, il faut retenir que l’instruction est manifestement incomplète, en violation de l’art. 43 LPGA. Vu ce qui précède, la décision attaquée doit être annulée et le dossier renvoyé à l’OAI, auquel il appartient au premier chef d’instruire, pour qu’il complète l’instruction afin d’établir le nombre d’heures de cours suivis par l’assurée durant la période précitée et se prononce, le cas échéant, sur les autres conditions du droit à la rente pour enfant. S’il s’avère, à la suite du complément d’instruction, que la recourante n’a pas droit à une rente pour enfant pour les mois litigieux, il incombera alors à l’OAI de se prononcer également sur la restitution des prestations, en particulier d’examiner la question des effets rétroactifs ou non de la correction à opérer en raison du caractère indu des prestations. 5. a) Dès lors, le recours est admis, la décision attaquée annulée et la cause renvoyée à l’autorité intimée pour complément d’instruction au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 Il n’y a pas lieu d’allouer des dépens, la partie recourante ayant procédé sans mandataire qualifié (ATF 127 V 205 consid. 4b). Par ces motifs, la juge unique prononce : I. Le recours est admis. II. La décision rendue le 19 septembre 2024 par l’Office de l’assurance-invalidité pour le canton de Vaud est annulée, la cause lui étant renvoyée pour complément d’instruction au sens des considérants puis nouvelle décision. III. Les frais judiciaires, arrêtés à 600 fr. (six cents francs), sont mis à la charge de l’Office de l’assurance-invalidité pour le canton de Vaud. IV. Il n’est pas alloué de dépens. La juge unique :               La greffière : Du L'arrêt qui précède est notifié à : ‑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