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359 vom 1. Januar 2021</w:t>
      </w:r>
    </w:p>
    <w:p>
      <w:r>
        <w:t>VD Tribunal cantonal, 2021-01-01, FR</w:t>
      </w:r>
    </w:p>
    <w:p>
      <w:r>
        <w:rPr>
          <w:b/>
        </w:rPr>
        <w:t xml:space="preserve">Quelle: </w:t>
      </w:r>
      <w:r>
        <w:t>https://mcp.opencaselaw.ch/entscheid/vd_findinfo_Arr_t___2025___359</w:t>
      </w:r>
    </w:p>
    <w:p>
      <w:r>
        <w:t>FR: VD_FINDINFO Arrêt / 2025 / 359 du 1 janvier 2021</w:t>
      </w:r>
    </w:p>
    <w:p>
      <w:r>
        <w:t>IT: VD_FINDINFO Arrêt / 2025 / 359 del 1 gennaio 2021</w:t>
      </w:r>
    </w:p>
    <w:p>
      <w:pPr>
        <w:pStyle w:val="Heading2"/>
      </w:pPr>
      <w:r>
        <w:t>Regeste</w:t>
      </w:r>
    </w:p>
    <w:p>
      <w:r>
        <w:t>CURATELLE DE REPRÉSENTATION AYANT POUR OBJET LA GESTION DU PATRIMOINE, CURATELLE DE REPRÉSENTATION{ART. 394 CC}, MESURE PROVISIONNELLE, CONFLIT D'INTÉRÊTS, ASSISTANCE{EN GÉNÉRAL}, SUBSIDIARITÉ, PERSONNE PROCHE, PRESTATION INSUFFISANTE, REJET DE LA DEMANDE | 389 CC, 394 al. 1 CC, 395 al. 1 CC, 445 CC</w:t>
      </w:r>
    </w:p>
    <w:p>
      <w:pPr>
        <w:pStyle w:val="Heading2"/>
      </w:pPr>
      <w:r>
        <w:t>Erwägungen</w:t>
      </w:r>
    </w:p>
    <w:p>
      <w:r>
        <w:rPr>
          <w:b/>
        </w:rPr>
        <w:t>E. 1.1</w:t>
      </w:r>
    </w:p>
    <w:p>
      <w:r>
        <w:t>Le recours est dirigé contre une ordonnance de mesures provisionnelles de la justice de paix instituant une curatelle de représentation et de gestion provisoire au sens des art. 394 al. 1, 395 al. 1 et 445 al. 1 CC en faveur de la recourante.</w:t>
      </w:r>
    </w:p>
    <w:p>
      <w:r>
        <w:rPr>
          <w:b/>
        </w:rPr>
        <w:t>E. 1.2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 Basler Kommentar, Zivilgesetzbuch I, Art. 1-456 ZGB, 7 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BSK ZGB I, op. cit. , n. 42 ad art. 450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op. cit. , n. 12.39, p. 290).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w:t>
      </w:r>
    </w:p>
    <w:p>
      <w:r>
        <w:rPr>
          <w:b/>
        </w:rPr>
        <w:t>E. 1.3</w:t>
      </w:r>
    </w:p>
    <w:p>
      <w:r>
        <w:t>En l’espèce, interjeté en temps utile par la personne concernée et motivé, le recours est recevable. Le recours étant manifestement infondé, au vu des considérations qui seront développées ci-après, il a été renoncé à consulter l’autorité de protection.</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ne paraisse disproportionnée (art. 447 al. 1 CC).</w:t>
      </w:r>
    </w:p>
    <w:p>
      <w:r>
        <w:rPr>
          <w:b/>
        </w:rPr>
        <w:t>E. 2.3</w:t>
      </w:r>
    </w:p>
    <w:p>
      <w:r>
        <w:t>En l’espèce, la recourante, accompagnée par son époux, a été entendue par la justice de paix lors de l’audience du 17 mars 2025, de sorte que son droit d’être entendue a été respecté. L’ordonnance entreprise étant formellement correcte, elle peut être examinée sur le fond.</w:t>
      </w:r>
    </w:p>
    <w:p>
      <w:r>
        <w:rPr>
          <w:b/>
        </w:rPr>
        <w:t>E. 3.1</w:t>
      </w:r>
    </w:p>
    <w:p>
      <w:r>
        <w:t>La recourante s’oppose à l’institution d’une curatelle provisoire en sa faveur. Elle fait valoir que cette mesure est « inadaptée à la réalité de son état physique et mental ». Elle expose en premier lieu être autonome pour les actes de la vie quotidienne (prendre ses médicaments, se laver, s’habiller, etc…). Elle se prévaut des réponses de son mari à l’Office AI à ce sujet. En ce qui concerne la gestion administrative, elle fait valoir qu’elle est capable de faire une partie des tâches (renouvellement de documents d’identité) et que, pour le surplus, son mari s’en occupe depuis plus de vingt-cinq ans de vie commune. Elle fait valoir que celui-ci a pris contact avec la banque pour demander une augmentation d’hypothèque pour financer la postcure dont elle a besoin, et qu’il a un rendez-vous le 16 avril 2025.</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Elle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(Meier, Droit de la protection de l’adulte, 2 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 n. 720, p. 398). Par « troubles psychiques » on entend toutes les pathologies mentales reconnues en psychiatrie, soit les psychoses et les psychopathies ayant des causes physiques ou non, ainsi que les démences (Meier, Droit de la protection de l’adulte, op. cit. , n. 722, p. 399 ; Guide pratique COPMA 2012, op. cit. ,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(TF 5A_417/2018 du 17 octobre 2018 consid. 4.3.1, in SJ 2019 I 127).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Commentaire du droit de la famille [CommFam], Berne 2013, nn. 16-17, pp. 387 ss ; TF 5A_844/2017 du 15 mai 2018 consid. 3.4.1 et les références citées). Cette disposition permet d’apporter à la personne concernée l’aide dont elle a besoin dans les cas où la faiblesse ne peut être attribuée de manière claire à une déficience mentale ou à un trouble psychique (Biderbost, BSK ZGB I, op. cit. , n. 14 ad art. 390 CC, p. 2419). L’état de faiblesse doit avoir encore pour conséquence l’incapacité, totale ou partielle, de la personne concernée d’assurer elle-même la sauvegarde de ses intérêts ou de désigner un représentant pour gérer ses affaires (besoin de protection), notion correspondant à la condition d’interdiction des art. 369 et 372 aCC. Il doit s’agir d’affaires essentielles pour la personne concernée, de sorte que les difficultés constatées ont pour elle des conséquences importantes. Bien que la loi ne le précise pas, il peut s’agir d’intérêts patrimoniaux et/ou personnels, respectivement de soucis de représentation juridique (TF 5A_551/2021 du 7 décembre 2021 consid. 4.1.1 ; Meier, Droit de la protection de l’adulte, op. cit. , n. 729, p. 403 ; Guide pratique COPMA 2012, op. cit. , n. 5.10, p. 138).</w:t>
      </w:r>
    </w:p>
    <w:p>
      <w:r>
        <w:rPr>
          <w:b/>
        </w:rPr>
        <w:t>E. 3.2.2</w:t>
      </w:r>
    </w:p>
    <w:p>
      <w:r>
        <w:t>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proportionnalité, à savoir une mesure nécessaire et appropriée (art. 389 al. 2 CC ; ATF 140 III 49 consid. 4.3.1 ; TF 5A_417/2018 du 17 octobre 2019 consid. 4.2.1, in SJ 2019 I 127 ; 5A_844/2017 du 15 mai 2018 consid. 3.1 et les références citées). L’aide proposée peut s’avérer contre-productive ou inappropriée, notamment lorsque le prétendu soutien n’est pas dans l’intérêt de la personne concernée (Biderbost, BSK ZGB I, op. cit. , n. 6a ad art. 389 CC, p. 2409 ; pour un exemple de curatelle de représentation instituée en raison d’un conflit d’intérêts du proche : TF 5A_221/2021 du 7 décembre 2021, cf. en particulier consid. 5). La désignation d’un représentant neutre peut aussi se révéler nécessaire en cas de relations familiales très tendues, afin de sauvegarder les intérêts de la personne concernée et d’éviter les conflits (TF 5A_546/2020 du 21 juin 2021 consid. 3.5.2 ; Biderbost, BSK ZGB I, op. cit. , n. 2 ad art. 389 CC, p. 2408).</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op. cit. , nn. 15 à 26 ad art. 394 CC, pp. 439 ss, et n. 11 ad art. 395 CC, p. 452 ; Meier, Droit de la protection de l’adulte , op. cit. , n. 818, pp. 440-441).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souvent la gestion du patrimoine ; il ne s’agit pas d’une curatelle combinée au sens de l’art. 397 CC mais d’une seule et même mesure. En effet, la curatelle de gestion n’est qu’une forme spéciale de curatelle de représentation (Meier, Droit de la protection de l’adulte, op. cit. , nn. 813 et 833, pp. 438 et 447 ; Meier, CommFam, op. cit. ,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 nn. 835-836, pp. 447-448 ; ATF 140 III 1 ; TF 5A_417/2018 du précité consid 4.2.2 et les références citées ; 5A_192/2018 précité consid. 3.1 et les références citées).</w:t>
      </w:r>
    </w:p>
    <w:p>
      <w:r>
        <w:rPr>
          <w:b/>
        </w:rPr>
        <w:t>E. 3.2.4</w:t>
      </w:r>
    </w:p>
    <w:p>
      <w:r>
        <w:t>Aux termes de l’art. 445 al. 1 CC, l’autorité de protection prend, d’office ou à la demande d’une personne partie à la procédure, les mesures provisionnelles nécessaires pendant la durée de la procédure. Elle peut notamment ordonner une mesure de protection de l’adulte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 cf. art. 261 al. 1 CPC ; Guide pratique COPMA 2012, op. cit. , n. 1.186, p. 75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S’agissant d’une mesure provisoire, il suffit que la cause et la condition soient réalisées à première vue (CCUR 4 mars 2021/59 consid. 3.1.4 ; JdT 2005 III 51).</w:t>
      </w:r>
    </w:p>
    <w:p>
      <w:r>
        <w:rPr>
          <w:b/>
        </w:rPr>
        <w:t>E. 3.3</w:t>
      </w:r>
    </w:p>
    <w:p>
      <w:r>
        <w:t>En l’espèce, la recourante présente des troubles mentaux et physiques liés à l’abus d’alcool ; elle souffre également d’une atteinte neuronale. Elle doit respecter une abstinence stricte sous peine de voir son pronostic vital engagé et compromettre toute chance de transplantation hépatique. Comme elle ne paraît pas en mesure de respecter cet objectif à domicile, elle fait l’objet d’un placement à des fins d’assistance, ce qu’elle ne conteste pas, et demeurera en institution ces prochains mois. La recourante ne prétend pas être en mesure de gérer seule toutes ses affaires administratives. Au vu des atteintes à sa santé, on peut admettre, au stade provisionnel, que la recourante présente une cause de curatelle et un besoin d’assistance, à tout le moins s’agissant des démarches en relation avec l’organisation du séjour en postcure. La personne concernée soutient en revanche que son époux peut et fait le nécessaire à cet égard ; cette critique doit être examinée sous l’angle de la subsidiarité de la mesure de protection à l’aide procurée par les proches. Il faut constater que le mari de la personne concernée semble manifestement dépassé par les démarches à entreprendre sur les plans administratif et financier en lien avec la situation de son épouse, en particulier s’agissant des solutions devant être trouvées pour le financement du séjour de postcure de la personne concernée. Lors de l’audience du 17 mars 2025, l’époux a déclaré que le financement bloquait la situation, qu’il ressentait beaucoup de pression sur ses épaules et qu’il devait en outre préserver ses enfants. Dans son courriel du 21 septembre 2024 à la juge de paix, il avait déjà manifesté son impuissance et son désarroi concernant le financement du séjour de postcure. C’est donc la juge de paix elle-même qui avait dû se renseigner auprès du service compétent quant aux possibilités de prise en charge des frais d’hébergement en postcure et orienter le mari pour la suite des démarches. En outre, on relèvera que ce dernier – par ailleurs régulièrement absent du domicile en raison de déplacements pour son travail – a également dû être accompagné par J.________ pour les démarches de révision des prestations AI pour son épouse, puisque la première demande déposée par l’intéressé n’avait abouti qu’à l’octroi d’une rente partielle. L’époux a, certes, affirmé être bien conscient de l’importance de la mise en œuvre d’un séjour de postcure pour la recourante. Toutefois, jusqu’à l’audience du 17 mars 2025, il n’avait pas trouvé, voire pas cherché, de financement pour cette postcure, démontrant à cet égard une attitude passive déjà observée par les médecins de J.________ en juillet 2024. Or, il est actuellement absolument vital, pour la recourante, qu’un séjour en postcure soit organisé sans plus attendre, ce qui implique que son financement soit réglé. Par ailleurs, le fait que l’époux se soit montré plutôt réticent à devoir engager des frais pour un tel séjour au motif que sa situation financière n’est pas bonne, pourrait constituer un cas de conflit – abstrait – entre ses propres intérêts et ceux de son épouse. Ces éléments confortent ainsi le besoin de l’intervention d’une personne tierce dans la situation. D’ailleurs, à l’audience du 11 juillet 2024, le médecin de J.________ avait déjà conclu à la nécessité d’un soutien par un tiers extérieur pour la gestion administrative et financière de la recourante, afin notamment de décharger son époux. La recourante invoque que des démarches ont été effectuées auprès de la banque pour débloquer des fonds en vue de financer le séjour de postcure. Ces allégations ne sont toutefois pas établies, aucune pièce n'ayant été produite à leur appui. Au demeurant, la recourante ne prétend pas que ces démarches auraient abouti à un résultat fructueux, le rendez-vous fixé n’ayant pas encore eu lieu au moment du dépôt du recours. On peut dès lors admettre, au stade des mesures provisionnelles, que le soutien de l’époux de la personne concernée n’est pas suffisant en l’état pour assurer que toutes les mesures et démarches nécessaires à la clarification de la situation financière de l’intéressée et à l’examen des solutions de financement d’un séjour de postcure soient prises à temps. Il semble ainsi justifié qu’un tiers, qui dispose des connaissances requises en la matière, se charge des aspects de gestion administrative et financière de la recourante, du moins durant l’enquête. Cette mesure permettra au demeurant à l’époux de se concentrer sur le soutien affectif qu’il peut procurer à son épouse. Enfin, on notera que la recourante semble se méprendre sur la portée de la mesure prononcée. Il ne s’agit pas d’une curatelle de portée générale, ni de nier son autonomie pour les actes de la vie quotidienne. De plus, la curatelle – provisoire – ne comporte aucune limitation de l’exercice des droits civils de la personne concernée, laquelle pourra donc continuer, d’entente avec la curatrice, à effectuer les tâches qu’elle est apte à assumer. On rappellera également que la situation, en particulier sous l’angle de la nécessité d’une curatelle, sera quoi qu’il en soit réexaminée ultérieurement, à la lumière des conclusions du complément d’expertise à intervenir prochainement. Pour le surplus, la recourante n’émet aucune critique à l’encontre de la personne désignée comme curatrice provisoire, laquelle parait présenter les qualifications requises (art. 400 CC). Au vu de ce qui précède, force est de constater qu’au stade de la vraisemblance, tant la cause que la condition d’une curatelle paraissent réunies. Le grief est ainsi manifestement infondé et la mesure provisoire ordonnée doit dès lors être confirmée.</w:t>
      </w:r>
    </w:p>
    <w:p>
      <w:r>
        <w:rPr>
          <w:b/>
        </w:rPr>
        <w:t>E. 4</w:t>
      </w:r>
    </w:p>
    <w:p>
      <w:r>
        <w:t>En conclusion, le recours doit être rejeté et l’ordonnance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L’ordonnance de mesures provisionnelles est confirmée. III. L'arrêt, rendu sans frais judiciaires de deuxième instance, est exécutoire. La présidente :              La greffière : Du L'arrêt qui précède, dont la rédaction a été approuvée à huis clos, est notifié à : ‑ Mme G.________, ‑ M. S.________, - Mme K.________, curatrice provisoire, Service des curatelles et tutelles professionnelles, - J.________, à l’att. du médecin responsable, et communiqué à : ‑ Mme la Juge de paix du district de la Riviera – Pays-d’Enhaut, - J.________, Unité des expertises,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