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356 vom 12. Mai 2025</w:t>
      </w:r>
    </w:p>
    <w:p>
      <w:r>
        <w:t>VD Tribunal cantonal, 2025-05-12, FR</w:t>
      </w:r>
    </w:p>
    <w:p>
      <w:r>
        <w:rPr>
          <w:b/>
        </w:rPr>
        <w:t xml:space="preserve">Quelle: </w:t>
      </w:r>
      <w:r>
        <w:t>https://mcp.opencaselaw.ch/entscheid/vd_findinfo_Arr_t___2025___356</w:t>
      </w:r>
    </w:p>
    <w:p>
      <w:r>
        <w:t>FR: VD_FINDINFO Arrêt / 2025 / 356 du 12 mai 2025</w:t>
      </w:r>
    </w:p>
    <w:p>
      <w:r>
        <w:t>IT: VD_FINDINFO Arrêt / 2025 / 356 del 12 maggio 2025</w:t>
      </w:r>
    </w:p>
    <w:p>
      <w:pPr>
        <w:pStyle w:val="Heading2"/>
      </w:pPr>
      <w:r>
        <w:t>Regeste</w:t>
      </w:r>
    </w:p>
    <w:p>
      <w:r>
        <w:t>DÉCISION DE RENVOI, EXPERTISE PLURIDISCIPLINAIRE | 28 LAI, 17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du recourant à une rente d’invalidité au-delà du 31 mai 2022.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en l’espèce, la situation demeure régie par les anciennes dispositions légales et réglementaires en vigueur jusqu’au 31 décembre 2021.</w:t>
      </w:r>
    </w:p>
    <w:p>
      <w:r>
        <w:rPr>
          <w:b/>
        </w:rPr>
        <w:t>E. 2.2</w:t>
      </w:r>
    </w:p>
    <w:p>
      <w:r>
        <w:t>et les arrêts cités). bb) Le recourant a requis que les frais du rapport d'expertise privée soient mis à la charge de l'OAI, sans toutefois formuler de conclusions formelles au pied de son recours. Cela étant, il apparaît que cette expertise a permis de mettre en lumière les lacunes de l'instruction menée par l'OAI et de justifier le renvoi de la cause pour instruction complémentaire, ce que l'OAI a au demeurant admis. Les frais du rapport d'expertise, par 3'500 fr. au vu de la facture établie le 11 avril 2024, seront par conséquent mis à la charge de l'OAI. d)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L’OAI a retenu que l’assuré avait été totalement incapable de travailler dans toutes activités du 18 octobre 2018 au 28 février 2022, mais avait retrouvé une pleine capacité de travail dans une activité adaptée à ses limitations fonctionnelles dès le 1 er mars 2022. Il a en particulier fondé son appréciation sur l’avis du médecin de la CNA. a) aa) Sur le plan psychiatrique, le recourant se prévaut des conclusions de l’expertise privée qu’il a confiée au Dr W.________, considérant que son incapacité de travail a perduré au-delà du mois de février 2022. Dans son rapport d’expertise privée, le Dr W.________ a établi une anamnèse personnelle, professionnelle, sociale et médicale, précisant l'évolution des troubles psychiques en se fondant sur les rapports en sa possession et sur les déclarations de l'assuré. Il a rapporté les plaintes spontanées de l'assuré ainsi que les plaintes dirigées, précisant leur retentissement dans les activités de la vie quotidienne et dans les relations sociales. Il a réalisé son examen clinique en analysant les critères majeurs de la dépression selon la CIM-10 et en procédant à des tests et mesures psychométriques. Il a ainsi retenu des symptômes dépressifs et anxieux dans un contexte de trouble de l’adaptation avec réaction anxieuse et dépressive avant février 2022, ayant évolué vers un épisode dépressif sévère sans symptômes psychotiques depuis lors, puis vers un épisode dépressif moyen avec syndrome somatique entre décembre 2022 et février 2023 lequel était en rémission depuis mars 2023. Sur la base de ces éléments, il a retenu les diagnostics d’épisode dépressif sévère sans symptômes psychotiques entre février 2022 et novembre 2022 ainsi que d'épisode dépressif moyen avec syndrome somatique entre décembre 2022 et février 2023, qui avaient eu un effet sur la capacité de travail. L’expert a estimé que l’assuré avait été incapable de travailler de février à novembre 2022, puis à 50 % jusqu'en février 2023, retrouvant depuis lors une pleine capacité de travail. Ces éléments jettent un doute sur les conclusions de l’intimé concernant la capacité de travail de l’assuré. Ils n’emportent toutefois pas la conviction. En effet, l'expert W.________ n’a pas expliqué de manière détaillée les raisons l’ayant amené à retenir ces diagnostics et n’expose pas davantage les éléments l'amenant à considérer que l’assuré a présenté un trouble de l'adaptation qui a évolué vers un épisode dépressif. L'expert évoque également des traits de personnalité, sans les étayer, et considère que ceux-ci augmentent les risques d'accidents à répétition, sans expliquer son propos, que l'on peine d’ailleurs à saisir ce d’autant plus en présence de traits non décompensés. Au demeurant, l’expert psychiatre ne se positionne pas sur le diagnostic de fibromyalgie retenu par les médecins, l'évoquant tout au plus dans le chapitre des antécédents somatiques. Or, c'est au moyen des indicateurs applicables en matière de trouble psychique qu'une fibromyalgie doit être évaluée, examen auquel le Dr W.________ ne s’est pas livré. S’agissant de l'appréciation du psychiatre traitant, selon laquelle l'assuré serait totalement incapable de travailler en raison d'un trouble dépressif sévère, l’expert W.________ a indiqué que les activités réalisées par l'assuré ne sont pas compatibles avec une telle incapacité. Il n'a cependant pas clairement pris position sur ces incohérences. Enfin, alors qu'il retient une rémission de l'épisode dépressif au motif que l'assuré a repris une activité lucrative, l’expert semble se fonder uniquement sur les déclarations de ce dernier, ne détaillant pas sa journée-type de travail et ne prenant pas en considération l'appréciation négative de la psychiatre traitante à ce propos. L’expertise du Dr W.________ ne peut dès lors pas être suivie au vu de son caractère incomplet. Elle met toutefois en lumière une incapacité de travail qui semble avoir perduré au-delà du mois de février 2022. bb) Sur le plan somatique, le rapport du 4 juin 2024 de la Dre D.________ produit par le recourant fait état d'une aggravation de la fibromyalgie et de la survenue d’un nouvel accident ayant occasionné une fracture costale en février 2024, soit avant que la décision entreprise ne soit rendue. Si la Dre D.________ semble, dans un premier temps, mettre en lien l’aggravation de la fibromyalgie avec la fracture costale, comme le relève le SMR, la médecin évoque toutefois une aggravation généralisée de la symptomatologie douloureuse touchant les genoux, le rachis, les épaules et le thorax, et pas uniquement la zone costale. Cela étant, dès lors que le diagnostic de la fibromyalgie doit être posé à l'issue d'une procédure structurée réalisée au moyen des indicateurs, ce qui n'a pas été le cas en l'occurrence, et que l'aggravation généralisée des douleurs semble avoir eu lieu avant que la décision entreprise ne soit rendue, il y a lieu de constater que cet aspect de l’état de santé de l’assuré doit faire l'objet d'un complément d'instruction. b) Il ressort des considérants qui précèdent que l’instruction menée par l’intimé est lacunaire et ne permet pas de se prononcer en connaissance de cause, au vu des incohérences qui perdurent dans cette situation complexe. Il convient par conséquent de renvoyer la cause à cette autorité, dès lors que c’est à elle qu’il incombe en premier lieu d’instruire, conformément au principe inquisitoire qui régit la procédure dans le domaine des assurances sociales (art. 43 al. 1 LPGA). Il lui appartiendra de mettre en œuvre une expertise pluridisciplinaire, comportant un volet psychiatrique, rhumatologique, orthopédique et de médecine interne, afin de clarifier les atteintes dont souffre l’assuré et leurs effets sur sa capacité de travail passée et future, ainsi que d’évaluer la situation dans son ensemble, étant précisé que les effets d’une éventuelle fibromyalgie doivent être évalués sur la base de la procédure structurée, au moyen des indicateurs applicables en présence de troubles psychiatriques (TF 9C_808/2019 du 18 août 2020 consid. 5.1).</w:t>
      </w:r>
    </w:p>
    <w:p>
      <w:r>
        <w:rPr>
          <w:b/>
        </w:rPr>
        <w:t>E. 6</w:t>
      </w:r>
    </w:p>
    <w:p>
      <w:r>
        <w:t>a) Vu ce qui précède, le recours doit être admis et la décision entreprise annulée, la cause étant renvoyée à l’OAI pour complément d'instruction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aa)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(ATF 115 V 62 consid. 5c ; TF 9C_395/2023 du 11 décembre 2023 consid. 6 ; 9C_519/2020 du 6 mai 2021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