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31 vom 26. Februar 2025</w:t>
      </w:r>
    </w:p>
    <w:p>
      <w:r>
        <w:t>VD Tribunal cantonal, 2025-02-26, FR</w:t>
      </w:r>
    </w:p>
    <w:p>
      <w:r>
        <w:rPr>
          <w:b/>
        </w:rPr>
        <w:t xml:space="preserve">Quelle: </w:t>
      </w:r>
      <w:r>
        <w:t>https://mcp.opencaselaw.ch/entscheid/vd_findinfo_Arr_t___2025___31</w:t>
      </w:r>
    </w:p>
    <w:p>
      <w:r>
        <w:t>FR: VD_FINDINFO Arrêt / 2025 / 31 du 26 février 2025</w:t>
      </w:r>
    </w:p>
    <w:p>
      <w:r>
        <w:t>IT: VD_FINDINFO Arrêt / 2025 / 31 del 26 febbraio 2025</w:t>
      </w:r>
    </w:p>
    <w:p>
      <w:pPr>
        <w:pStyle w:val="Heading2"/>
      </w:pPr>
      <w:r>
        <w:t>Regeste</w:t>
      </w:r>
    </w:p>
    <w:p>
      <w:r>
        <w:t>REJET DE LA DEMANDE, ASSISTANCE JUDICIAIRE, PROCÉDURE ADMINISTRATIVE, AVOCAT, COMPLEXITÉ DE LA PROCÉDURE, DÉCISION INCIDENTE | 37 al. 4 LPGA</w:t>
      </w:r>
    </w:p>
    <w:p>
      <w:pPr>
        <w:pStyle w:val="Heading2"/>
      </w:pPr>
      <w:r>
        <w:t>Erwägungen</w:t>
      </w:r>
    </w:p>
    <w:p>
      <w:r>
        <w:rPr>
          <w:b/>
        </w:rPr>
        <w:t>E. 6</w:t>
      </w:r>
    </w:p>
    <w:p>
      <w:r>
        <w:t>Mal fondé, le recours est en conséquence rejeté et la décision incidente attaquée confirmée.</w:t>
      </w:r>
    </w:p>
    <w:p>
      <w:r>
        <w:rPr>
          <w:b/>
        </w:rPr>
        <w:t>E. 7</w:t>
      </w:r>
    </w:p>
    <w:p>
      <w:r>
        <w:t>a)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Au vu de l’octroi de l’assistance judiciaire, ils sont provisoirement supportés par l’Etat. b) Il n’y a pas lieu d’allouer de dépens à la partie recourante, qui n’obtient pas gain de cause (art. 61 let. g LPGA). c) La partie recourante est au bénéfice de l’assistance judiciaire. Me Dénériaz peut prétendre à une équitable indemnité pour son mandat d’office. Celle-ci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 BLV 211.02.3]). La liste des opérations produite le 10 juillet 2023 par Me Dénériaz ne peut toutefois pas être intégralement suivie, en ce sens que l’activité déployée dépasse ce qu’admet la pratique de la Cour dans l’estimation du temps objectivement requis pour le traitement de cas de ce genre eu égard à l’importance et à la complexité du litige. D’une part, la liste fait mention de démarches antérieures à la date à compter de laquelle l’assistance judiciaire a été accordée, lesquelles n’ont pas à être prises en charge dans le cadre de la présente procédure. D’autre part, le temps consacré à la rédaction de la réplique et à son amendement est également excessif. En effet, le total de ces opérations, soit 2 heures et 42 minutes, interpelle s’agissant d’un courrier de deux pages, ce d’autant que, pour l’essentiel, cette écriture reprend les arguments déjà exposés dans le recours, non sans s’exprimer brièvement sur la jurisprudence fédérale citée par l’office intimé dans sa réponse. Au vu de ce qui précède, une activité d'environ 8 heures peut être considérée comme raisonnablement nécessaire pour l'accomplissement de ce mandat d'office au regard d’une procédure sans complexité particulière. L'indemnité d'office en faveur de Me Dénériaz sera ainsi arrêtée en équité à 1’500 fr., débours et TVA compris. d) La partie recourante est rendue attentive au fait qu’elle devra rembourser les frais et l’indemnité provisoirement pris en charge par l’Etat dès qu’elle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