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274 vom 7. April 2025</w:t>
      </w:r>
    </w:p>
    <w:p>
      <w:r>
        <w:t>VD Tribunal cantonal, 2025-04-07, FR</w:t>
      </w:r>
    </w:p>
    <w:p>
      <w:r>
        <w:rPr>
          <w:b/>
        </w:rPr>
        <w:t xml:space="preserve">Quelle: </w:t>
      </w:r>
      <w:r>
        <w:t>https://mcp.opencaselaw.ch/entscheid/vd_findinfo_Arr_t___2025___274</w:t>
      </w:r>
    </w:p>
    <w:p>
      <w:r>
        <w:t>FR: VD_FINDINFO Arrêt / 2025 / 274 du 7 avril 2025</w:t>
      </w:r>
    </w:p>
    <w:p>
      <w:r>
        <w:t>IT: VD_FINDINFO Arrêt / 2025 / 274 del 7 aprile 2025</w:t>
      </w:r>
    </w:p>
    <w:p>
      <w:pPr>
        <w:pStyle w:val="Heading2"/>
      </w:pPr>
      <w:r>
        <w:t>Regeste</w:t>
      </w:r>
    </w:p>
    <w:p>
      <w:r>
        <w:t>RESTITUTION{EN GÉNÉRAL}, RENTE POUR ENFANT, AI{ASSURANCE}, REJET DE LA DEMANDE | 35 LAI, 17 al. 1 LPGA, 25 LPGA</w:t>
      </w:r>
    </w:p>
    <w:p>
      <w:pPr>
        <w:pStyle w:val="Heading2"/>
      </w:pPr>
      <w:r>
        <w:t>Erwägungen</w:t>
      </w:r>
    </w:p>
    <w:p>
      <w:r>
        <w:rPr>
          <w:b/>
        </w:rPr>
        <w:t>E. 7</w:t>
      </w:r>
    </w:p>
    <w:p>
      <w:r>
        <w:t>Le recourant invoque sa bonne foi et sa situation financière difficile. a) L’art. 25 al. 1, deuxième phrase, LPGA, prévoit que la restitution ne peut être exigée lorsque l’intéressé était de bonne foi et qu’elle le mettrait dans une situation difficile. Selon l’art. 4 al. 4 OPGA (ordonnance du 11 septembre 2002 sur la partie générale du droit des assurances sociales ; RS 830.11), la demande de remise doit être présentée par écrit ; elle doit être motivée, accompagnée des pièces nécessaires et déposée au plus tard trente jours à compter de l’entrée en force de la décision de restitution. b) Les allégations du recourant concernent la problématique de la remise de l’obligation de restituer, laquelle ne doit pas être examinée dans le cadre du présent litige. En effet, le tribunal ne peut statuer avant que l’intimé ait rendu une décision à ce sujet. Le recourant ne peut dès lors pas invoquer sa bonne foi, ni ses difficultés économiques à ce stade (mais uniquement au stade d’une éventuelle demande de remise ; cf. art. 25 al. 1, deuxième phrase, LPGA, et art. 4 al. 4 OPGA).</w:t>
      </w:r>
    </w:p>
    <w:p>
      <w:r>
        <w:rPr>
          <w:b/>
        </w:rPr>
        <w:t>E. 8</w:t>
      </w:r>
    </w:p>
    <w:p>
      <w:r>
        <w:t>a) En définitive, le recours, mal fondé, doit être rejeté et la décision litigieuse confirmée. b) La procédure de recours en matière de contestations portant sur des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et a procédé sans mandataire qualifié (art. 61 let. g LPGA ; ATF 127 V 205 consid. 4b). Par ces motifs, la juge unique prononce : I. Le recours est rejeté. II. La décision rendue le 24 juillet 2024 par l’Office de l’assurance-invalidité pour le canton de Vaud est confirmée. III. Les frais judiciaires, arrêtés à 600 fr. (six cents francs), sont mis à la charge d’A.__________. IV. Il n’est pas alloué de dépens. La juge unique :               Le greffier : Du L'arrêt qui précède est notifié à : ‑ A.__________ c/o E.________,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