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254 vom 2. April 2025</w:t>
      </w:r>
    </w:p>
    <w:p>
      <w:r>
        <w:t>VD Tribunal cantonal, 2025-04-02, FR</w:t>
      </w:r>
    </w:p>
    <w:p>
      <w:r>
        <w:rPr>
          <w:b/>
        </w:rPr>
        <w:t xml:space="preserve">Quelle: </w:t>
      </w:r>
      <w:r>
        <w:t>https://mcp.opencaselaw.ch/entscheid/vd_findinfo_Arr_t___2025___254</w:t>
      </w:r>
    </w:p>
    <w:p>
      <w:r>
        <w:t>FR: VD_FINDINFO Arrêt / 2025 / 254 du 2 avril 2025</w:t>
      </w:r>
    </w:p>
    <w:p>
      <w:r>
        <w:t>IT: VD_FINDINFO Arrêt / 2025 / 254 del 2 aprile 2025</w:t>
      </w:r>
    </w:p>
    <w:p>
      <w:pPr>
        <w:pStyle w:val="Heading2"/>
      </w:pPr>
      <w:r>
        <w:t>Regeste</w:t>
      </w:r>
    </w:p>
    <w:p>
      <w:r>
        <w:t>CURATELLE DE REPRÉSENTATION AYANT POUR OBJET LA GESTION DU PATRIMOINE, DROIT D'ÊTRE ENTENDU, SUPPRESSION{EN GÉNÉRAL}, ENQUÊTE{EN GÉNÉRAL} | 394 al. 1 CC, 395 al. 1 CC, 450 CC, 29 al. 2 Cst.</w:t>
      </w:r>
    </w:p>
    <w:p>
      <w:pPr>
        <w:pStyle w:val="Heading2"/>
      </w:pPr>
      <w:r>
        <w:t>Erwägungen</w:t>
      </w:r>
    </w:p>
    <w:p>
      <w:r>
        <w:rPr>
          <w:b/>
        </w:rPr>
        <w:t>E. 1.1</w:t>
      </w:r>
    </w:p>
    <w:p>
      <w:r>
        <w:t>L e recours est dirigé contre une décision de la justice de paix instituant une curatelle de représentation et de gestion au sens des art. 394 al. 1 et 395 al. 1 CC en faveur de la recourante.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n. 42 ad art. 450 CC, p. 2940). En matière de protection de l’adulte, si le droit fédéral y relatif (art. 360 à 456 CC) et le droit cantonal ne contiennent pas de règles particulières, la procédure est régie par le CPC (Code de procédure civile du 19 décembre 2008 ; RS 272) ,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la personne concernée, le présent recours est recevable.</w:t>
      </w:r>
    </w:p>
    <w:p>
      <w:r>
        <w:rPr>
          <w:b/>
        </w:rPr>
        <w:t>E. 2</w:t>
      </w:r>
    </w:p>
    <w:p>
      <w:r>
        <w:t>.</w:t>
      </w:r>
    </w:p>
    <w:p>
      <w:r>
        <w:rPr>
          <w:b/>
        </w:rPr>
        <w:t>E. 2.1.1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[Code de procédure civile vaudois du 14 décembre 1966, aujourd'hui abrogé] ,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2.1.2</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 ATF 142 II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de fournir des preuves quant aux faits de nature à influer sur le sort de la décision,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que cela soit ou non concrètement susceptible d'influer sur le jugement à rendre (CCUR 22 décembre 2023/259). La jurisprudence a également déduit du droit d'être entendu l'obligation pour le juge de motiver sa décision afin que le destinataire puisse la comprendre, l'attaquer utilement s'il y a lieu et que l'autorité de recours puisse exercer son contrôle. L'autorité n'a toutefois pas l'obligation d'exposer et de discuter tous les faits, moyens de preuve et griefs invoqués par les parties, mais elle peut au contraire se limiter à ceux qui, sans arbitraire, lui paraissent pertinents (ATF 143 II 65 consid. 5.2 ; ATF 142 II 154 consid. 4.2 ; ATF 138 I 232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III440 ; TF 5A_887/2017 du 16 février 2018 consid. 6.1).</w:t>
      </w:r>
    </w:p>
    <w:p>
      <w:r>
        <w:rPr>
          <w:b/>
        </w:rPr>
        <w:t>E. 2.2</w:t>
      </w:r>
    </w:p>
    <w:p>
      <w:r>
        <w:t>En l’espèce, le chiffre I du dispositif de la décision attaquée indique que la justice de paix a mis fin à l’enquête en institution d’une curatelle ouverte en faveur de la recourante. Or, il n’y a pas eu d’ouverture d’enquête avant cette décision, mais uniquement un signalement de la Dre H.________ le 10 décembre 2024. Le procès-verbal des opérations du dossier ne mentionne du reste que le signalement précité et l’institution de la décision jusqu’au 13 décembre 2024. Il fait en revanche état de l’ouverture d’une enquête d’office sur instruction ultérieurement, soit le 24 décembre 2024. Toutefois, dans la mesure où aucune investigation n’a été menée jusqu’à cette date dans les faits, il s’agit d’une simple formalité afin de pouvoir solliciter du SCTP le nom d’un assistant social susceptible d’être désigné en qualité de curateur , ce qui a d’ailleurs été fait le 31 décembre 2024. La recourante a été entendue par la juge de paix le 12 décembre 2024, soit seulement deux jours après le signalement de la Dre H.________. Il est dès lors fort probable qu’elle a été citée à comparaître à cette audience dans le cadre de son appel contre la décision de placement médical à des fins d’assistance du 17 novembre 2024 et non pas relativement au signalement du 10 décembre 2024. L.________ a certes eu l’occasion de s’exprimer sur l’instauration d’une curatelle en sa faveur lors de cette audition. Il n’en demeure pas moins que l’autorité de protection aurait dû formellement ouvrir une enquête en institution d’une telle mesure en parallèle à la procédure en placement à des fins d’assistance, procéder à une instruction et entendre la recourante dans ce cadre-là. Or, tel n’a pas été le cas. Dans son acte de recours, l’intéressée demande du reste à la justice de paix d’élargir son enquête à sa vie hors de l’hôpital, lui reprochant de ne pas avoir pris en compte le fait que même en période de crise, elle a toujours fait ses paiements et géré sa fortune avec discernement et que lorsqu’elle en a eu besoin, elle a demandé de l’aide à des proches ou à des soignants. En procédant de la sorte, la justice de paix a ainsi violé le droit d’être entendu de la recourante. Il s’agit d’un vice grave qui ne saurait être réparé en procédure de recours, même compte tenu du libre pouvoir d’examen de la Chambre de céans. La décision entreprise doit par conséquent être annulée et la cause renvoyée à l’autorité de première instance pour instruction et nouvelle décision dans le sens des considérants. Cette enquête est d’autant plus nécessaire que l’on peut se poser la question de l’utilité de la mesure instituée. En effet, dans son signalement du 10 décembre 2024, la Dre H.________ relève que lors des périodes de décompensation, la recourante a tendance à faire des achats compulsifs et inconsidérés et à donner de l’argent à des personnes de son entourage, des connaissances ou des inconnus et qu’elle est ainsi susceptible d’être victime d’abus de tiers. Ce sont donc les comportements impulsifs de L.________ qui sont à craindre pendant ses phases de crise. Or, sans restriction des droits civils, la curatelle combinée ne sert à rien à cet égard. A noter encore que rien au dossier n’indique que la personne concernée rencontre des problèmes de gestion courante.</w:t>
      </w:r>
    </w:p>
    <w:p>
      <w:r>
        <w:rPr>
          <w:b/>
        </w:rPr>
        <w:t>E. 3</w:t>
      </w:r>
    </w:p>
    <w:p>
      <w:r>
        <w:t>En conclusion, le recours doit être admis et la décision entreprise annulée, la cause étant renvoyée à la justice de paix pour instruction et nouvelle décision dans le sens des considérants. Le présent arrêt peut être rendu sans frais judiciaires (art. 74a al. 4 TFJC [Tarif du 28 septembre 2010 des frais judiciaires civils ; BLV 270.1 1 .5]). L’ avance de frais de 300 fr. effectuée par la recourante doit ainsi lui être restituée. Par ces motifs, la Chambre des curatelles du Tribunal cantonal, statuant à huis clos, prononce : I. Le recours est admis. II. La décision est annulée. III. La cause est renvoyée à la Justice de paix du district de Lausanne pour instruction et nouvelle décision dans le sens des considérants. IV. L'arrêt est rendu sans frais judiciaires de deuxième instance, l’avance effectuée par la recourante L.________, par 300 fr. (trois cents francs), lui étant restituée. La présidente :              La greffière : Du L'arrêt qui précède, dont la rédaction a été approuvée à huis clos, est notifié à : ‑ Mme L.________, ‑ Service des curatelles et tutelles professionnelles, à l’att. de Mme P.________, ‑ CHUV, Service universitaire de psychiatrie de l’âge avancé, à l’att. de la Dre H.________,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