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240 vom 26. Mai 2025</w:t>
      </w:r>
    </w:p>
    <w:p>
      <w:r>
        <w:t>VD Tribunal cantonal, 2025-05-26, FR</w:t>
      </w:r>
    </w:p>
    <w:p>
      <w:r>
        <w:rPr>
          <w:b/>
        </w:rPr>
        <w:t xml:space="preserve">Quelle: </w:t>
      </w:r>
      <w:r>
        <w:t>https://mcp.opencaselaw.ch/entscheid/vd_findinfo_Arr_t___2025___240</w:t>
      </w:r>
    </w:p>
    <w:p>
      <w:r>
        <w:t>FR: VD_FINDINFO Arrêt / 2025 / 240 du 26 mai 2025</w:t>
      </w:r>
    </w:p>
    <w:p>
      <w:r>
        <w:t>IT: VD_FINDINFO Arrêt / 2025 / 240 del 26 maggio 2025</w:t>
      </w:r>
    </w:p>
    <w:p>
      <w:pPr>
        <w:pStyle w:val="Heading2"/>
      </w:pPr>
      <w:r>
        <w:t>Regeste</w:t>
      </w:r>
    </w:p>
    <w:p>
      <w:r>
        <w:t>RAPPORT MÉDICAL, AGGRAVATION DE L'ATTEINTE À LA SANTÉ, FORCE PROBANTE | 28 al. 1 LAI, 4 al. 1 LAI, 17 LPGA, 6 LPGA, 7 LPGA, 8 al. 1 LPGA</w:t>
      </w:r>
    </w:p>
    <w:p>
      <w:pPr>
        <w:pStyle w:val="Heading2"/>
      </w:pPr>
      <w:r>
        <w:t>Erwägungen</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avis médicaux établis par le SMR constituent des rapports au sens de l’art. 59 al. 2bis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Il est ainsi admissible de se fonder de manière déterminante sur leur contenu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En l’espèce, la recourante a déposé une cinquième demande de prestations le 17 mars 2023, en faisant valoir une aggravation de son état de santé sur le plan psychiatrique. Dans la mesure où l’intimé a estimé que la recourante avait rendu plausible l’aggravation alléguée, il est entré en matière sur sa demande de prestations et après instruction, a retenu que son état de santé ne s’était pas modifié d’une manière notable par rapport à la situation qui prévalait au moment où la décision de refus de prestations du 22 décembre 2010 – laquelle reposait sur un examen matériel du droit à la rente – avait été rendue, si bien qu’il a refusé à l’assurée l’octroi de prestations par décision du 22 juillet 2024. b/aa) Il convient tout d’abord de rappeler que dans le cadre de la décision rendue en 2010, l’intimé a nié le droit de la recourante à des prestations d’invalidité. Il s’est en particulier fondé sur le rapport d’expertise de la Clinique C.________ du 9 octobre 2007, aux termes duquel les experts avaient retenu le diagnostic incapacitant de lombalgies chroniques sur spondylolisthésis par lyse isthmique bilatérale au niveau L5-S1 de grade I (M43.0 et M43.1) et comme diagnostic sans incidence sur la capacité de travail un trouble de l’adaptation avec réaction dépressive prolongée (F43.21) . Ils avaient conclu à une capacité de travail de l’assurée de 70% dans une activité adaptée aux limitations fonctionnelles somatiques, l’activité habituelle n’étant plus adaptée. L’expert psychiatre en particulier avait expliqué que les symptômes anxieux et dépressifs présents chez la recourante ne permettaient pas de retenir des limitations dans sa capacité de travail, laquelle était de 100% sur le plan psychiatrique. Il avait en revanche précisé que la recourante avait vécu des périodes anxio-dépressives plus importantes par le passé qui n’étaient plus d’actualité au jour de l’expertise. Il avait également évoqué des « moyens affectivo-intellectuels et langagiers limités » chez la recourante, pouvant l’amener à mettre en avant des plaintes somatiques douloureuses, évoquant une majoration inconsciente ou un besoin d’être reconnue. bb) Dans le cadre du dépôt de sa cinquième demande de prestations le 17 mars 2023, la recourante a fait valoir une aggravation de son état de santé sur le plan psychiatrique uniquement. Aussi, l’examen se limitera à cet aspect-là, la recourante n’ayant pas fait état d’une modification de son état de santé dans le registre somatique. L’absence de changement sur ce plan-là a en outre été confirmée par la Dre T.________ qui a indiqué qu’il n’y avait pas de nouveau diagnostic somatique, ni de nouvelles limitations fonctionnelles, si bien qu’il convenait de se rallier aux conclusions de l’expertise de 2007 quant à une capacité de travail de 70% dans une activité adaptée (cf. rapport du 3 juin 2024). Pour rendre sa décision de refus de prestations du 22 juillet 2024 et retenir qu’il n’y avait pas eu d’aggravation significative de l’état de santé de la recourante sur le plan psychiatrique, l’intimé s’est fondé sur l’appréciation du SMR. Celui-ci a en particulier relevé, dans son avis du 27 février 2024, que les symptômes mentionnés par le psychiatre traitant (cf. rapports des 4 mars 2023, 23 juin et 21 décembre 2023), étaient les mêmes que ceux décrits précédemment. L’anxiété, la dépression et les troubles cognitifs étaient régulièrement documentés depuis la première demande et même si leur intensité n’était pas précisée, ils ne semblaient pas s’être péjorés, dans la mesure où l’assurée demeurait toujours capable de gérer les tâches du quotidien de manière autonome. Aucun appauvrissement du quotidien de la recourante n’était constaté, lequel était superposable à celui documenté dans la demande initiale, notamment une vie sociale très limitée avec des contacts uniquement avec ses enfants. Le SMR notait également qu’entre juin et décembre 2023, malgré l’annonce de plusieurs facteurs stressants à venir, le suivi psychiatrique avait été espacé (bimensuel à mensuel) et qu’aucune modification du traitement psychotrope (Fluoxetine 40 mg/jour) instauré en 2022 n’était intervenue, malgré un effet jugé comme moyen par le psychiatre traitant lors du dosage plasmatique réalisé en avril 2023. Ces éléments questionnaient en l’absence d’amélioration alléguée. Le SMR concluait que l’ensemble de ces constats laissait penser que la situation était globalement superposable à celle documentée au cours des années et que malgré les variations thymiques décrites par les intervenants, le fonctionnement global n’était pas altéré, si bien que les conclusions précédentes restaient valables. Le SMR relevait encore, concernant la présence d’un retard mental léger chez la recourante, que celui-ci avait été documenté depuis 2009 et qu’il était présent probablement depuis l’enfance mais qu’il n’avait pas empêché celle-ci d’exercer un emploi non qualifié comme celui qu’elle avait exercé. cc) Au stade du recours, la recourante s’est essentiellement référée au rapport du 30 mai 2024, produit dans le cadre de la procédure d’opposition, dans lequel le Dr L.________ a repris les diagnostics évoqués jusqu’alors, tout en précisant que le diagnostic de trouble de l’adaptation posé par l’expert en 2007 ne s’appliquait plus car les situations de vie qui auraient pu influencer la symptomatologie à l’époque n’avaient pas perduré. En revanche, le décès de la mère de l’assurée avait provoqué une aggravation de son état dépressif chronique. Elle se rendait en consultation toutes les six semaines à la suite de son déménagement récent pour se rapprocher de son fils. L’assurée était toujours suivie à domicile par une infirmière en soins psychiatriques. Le psychiatre traitant mentionnait toujours les mêmes limitations que précédemment. Le rapport précité a été soumis au SMR (cf. avis du 5 novembre 2024) qui a constaté que les diagnostics avaient certes varié selon les intervenants (experts et thérapeutes) durant la période allant de 2007 à 2024 mais que la symptomatologie décrite (tristesse, ruminations, fatigue, anxiété, manque de confiance en soi, difficultés de concentration, troubles du sommeil) était la même depuis que le dossier avait été porté à la connaissance de ce service. Il a également relevé que l’expertise réalisée en 2007 faisait déjà mention de « périodes anxio-dépressives plus importantes » par le passé, correspondant vraisemblablement aux périodes de séparation de l’assurée, que les psychiatres en charge du suivi de la recourante par la suite avaient retenues comme les épisodes d’un trouble dépressif récurrent. Or, plus que les diagnostics posés, ce qui était déterminant correspondait aux répercussions fonctionnelles qui traduisaient la gravité de l’atteinte et aucune aggravation du fonctionnement de la recourante n’était documentée entre 2005 et 2024. En effet, en 2007, la recourante évitait déjà de sortir, restait chez elle, n’avait que des contacts avec ses enfants, ne conduisait pas, ne gérait pas l’administratif (factures payées par son ami). Par ailleurs, entre 2011 et 2017, la recourante ne bénéficiait d’aucun suivi psychiatrique, ce qui suggérait que l’atteinte était en rémission ou du moins pas incapacitante. Le SMR a encore constaté que le suivi psychiatrique repris par le Dr L.________ en 2022 n’amenait pas d’éléments cliniques en faveur d’une péjoration de l’état de santé de la recourante. L’espacement du suivi au cours du temps et l’absence de modification du traitement antidépresseur (molécule et dosage) chez une assurée connue pour une non-compliance médicamenteuse (cf. rapport d’expertise de 2007) corroboraient l’absence d’aggravation. Quant au diagnostic de retard mental léger, il mettait vraisemblablement l’assurée à risque de décompensation dépressive à chaque situation de surcharge au vu de la diminution des capacités d’adaptation. Néanmoins, les ressources de l’assurée n’étaient pas épuisées, dès lors que celle-ci restait capable de faire face au quotidien, qu’elle maintenait le contact avec ses proches et qu’elle avait été en mesure de déménager récemment. Le SMR en a conclu que, malgré les variations thymiques transitoires constatées chez l’assurée, son fonctionnement global n’était pas altéré par rapport à celui qui était décrit dans le rapport d’expertise de 2007. dd) En l’occurrence, on peut tout d’abord relever que si l’intimé n’a, dans un premier temps, pas soumis au SMR le rapport du 5 mars 2024 du Dr L.________, produit dans le cadre de la procédure d’opposition, avant de rendre la décision litigieuse du 22 juillet 2024 – ce qui interpelle –, cela n’ôte pas encore toute valeur probante à l’appréciation de ce service. En effet, ce rapport, qui a été soumis au SMR dans le cadre de la procédure de recours, n’a pas apporté d’éléments nouveaux par rapport aux précédentes appréciations du psychiatre traitant et n’a fait que conforter le SMR dans sa position. Celui-ci a ainsi tenu compte de tous les rapports médicaux produits par la recourante dans son avis du 5 novembre 2024, dont il n’y a pas lieu de s’écarter. Comme l’a relevé le service précité, si les diagnostics (trouble de l’adaptation avec réaction dépressive prolongée en 2007 versus trouble dépressif récurrent et dysthymie en 2023 notamment) ont varié au fil du temps en fonction des spécialistes qui ont suivi la recourante, il convient de constater que la symptomatologie présentée par celle-ci ne s’est pas modifiée au fil des années et que son fonctionnement au quotidien n’a guère changé entre la situation qui prévalait en 2010 et celle de 2024. Or on rappellera que, du point de vue de l’assurance-invalidité, ce n’est pas fondamentalement le diagnostic, mais l'effet de l'atteinte à la santé sur la capacité de travail qui est déterminant (TF 8C_672/2023 du 4 juin 2024 consid. 3.2.1 et les références citées). On constate en outre, à la lecture du rapport du 4 mars 2024 du psychiatre traitant, que la recourante a pu réaliser son projet de déménagement en 2023 pour se rapprocher de l’une de ses filles et qu’il n’y a pas eu de changement dans son fonctionnement après cet évènement par rapport à la situation qui prévalait en 2010. Les autres constats faits par le SMR, notamment l’absence de suivi entre 2011 et 2017 suggérant une atteinte non incapacitante, l’absence d’éléments cliniques en faveur d’une péjoration de l’état de santé de la recourante depuis 2022 et l’espacement du suivi psychiatrique au cours du temps ainsi que l’absence de modification du traitement antidépresseur (molécule et dosage) chez une assurée connue pour une non-compliance médicamenteuse, sont convaincants et permettent de se rallier à son appréciation selon laquelle la situation ayant donné lieu à la décision du 22 juillet 2024 est superposable à celle qui prévalait en 2010. On relèvera du reste que, dans son rapport du 23 juin 2023, le Dr L.________ a évoqué une aggravation de l’état de santé de sa patiente depuis 2020 sur le plan psychique, mais n’a aucunement motivé son appréciation, se limitant à mentionner que cette aggravation était le résultat d’années d’atteintes à la fois somatiques et psychiques. En outre, ce médecin n’a pas expliqué en quoi le diagnostic de phobies spécifiques existant depuis 2020 aurait une incidence sur la capacité de travail de la recourante. Ce spécialiste n’a, en fin de compte, fait que procéder à une lecture différente d’un même état de fait, étant rappelé que le rapport de confiance qui lie un médecin traitant à son patient le place dans une position délicate pour constater des faits sur le plan assécurologique. En d’autres termes, les rapports du Dr L.________ ne permettent pas de retenir une aggravation significative de l’état de santé psychique de la recourante susceptible d’influencer son degré d’invalidité. Tout au plus, peut-on retenir, à l’instar de l’intimé, que la recourante connaît des variations thymiques depuis de nombreuses années, sans toutefois que cela n’affecte son fonctionnement global et, partant, sa capacité de travail. La recourante ne saurait par ailleurs tirer argument du fait que le SMR avait mentionné dans un premier temps qu’un épuisement des ressources ne pouvait être exclu. En effet, cet élément a certes été évoqué dans l’avis de ce service du 5 juillet 2023, mais à la suite de questions complémentaires posées en décembre 2023 au psychiatre traitant, le SMR a constaté, en février 2024, que l’assurée était toujours capable de gérer les tâches du quotidien de manière autonome et qu’il n’y avait pas d’appauvrissement du quotidien qui était superposable à celui documenté dans la demande initiale, notamment une vie sociale très limitée avec des contacts uniquement avec ses enfants. Il a confirmé ce constat dans son avis du 5 novembre 2024, en relevant que l’assurée restait capable de faire face au quotidien, qu’elle maintenait le contact avec ses proches et qu’elle avait été en mesure de déménager peu de temps avant. Il n’y a en l’occurrence pas matière à s’écarter de cette appréciation. Quant à l’argument de la recourante selon lequel le diagnostic de retard mental léger n’aurait pas été suffisamment investigué, il doit être écarté. En effet, le SMR s’est prononcé de manière claire à ce sujet, en précisant que cette composante mettait vraisemblablement la recourante à risque de décompensation dépressive à chaque situation de surcharge au vu de la diminution des capacités d’adaptation mais que ses ressources n’étaient pas épuisées, dès lors que celle-ci restait capable de faire face au quotidien, qu’elle maintenait le contact avec ses proches et qu’elle avait été en mesure de déménager récemment. A noter que l’expert psychiatre avait déjà tenu compte de cet aspect en 2007, puisqu’il avait mentionné la présence de « moyens affectivo-intellectuels et langagiers limités », lesquels n’avaient toutefois aucune incidence sur la capacité de travail de la recourante. En conclusion, le SMR, qui a pris en compte tous les rapports médicaux produits par la recourante et apprécié la situation de manière convaincante et en toute connaissance de cause, peut être suivi. On peut certes encore se demander, comme l’a relevé la recourante, si l’intimé a valablement écarté sans plus ample examen les éléments médicaux produits postérieurement à l’expertise de 2007 mais antérieurement à la décision du 22 décembre 2010 (cf. en particulier le rapport du Dr H.________ du 10 mars 2010 faisant état de deux épisodes dépressifs majeurs). Toutefois, dans la mesure où la recourante n’a pas contesté la décision de refus de prestations rendue le 22 décembre 2010, qui est entrée en force, on ne saurait revenir sur les éléments antérieurs à cette décision. c) En définitive, il y a lieu de constater, avec l’intimé, que la situation ayant donné lieu à la décision du 22 juillet 2024 est superposable à celle qui prévalait en 2010 et qu’il n’y a, par conséquent, pas d’aggravation de l’état de santé de la recourante notable, susceptible d’influencer ses droits. Partant, les conclusions de l’expertise réalisée en 2007 restent valables et il convient de retenir que la recourante dispose d’une capacité de travail de 70% dans une activité adaptée à ses limitations fonctionnelles somatiques.</w:t>
      </w:r>
    </w:p>
    <w:p>
      <w:r>
        <w:rPr>
          <w:b/>
        </w:rPr>
        <w:t>E. 8</w:t>
      </w:r>
    </w:p>
    <w:p>
      <w:r>
        <w:t>Sur le plan économique, la recourante ne conteste ni les revenus sans et avec invalidité retenus par l’intimé, ni le recours à l’Enquête suisse sur la structure des salaires, pas plus que le calcul du taux d’invalidité, lequel aboutit à un degré d’invalidité de 37%, n’ouvrant pas de droit à une rente. Vérifiés d’office, ces éléments peuvent être confirmés.</w:t>
      </w:r>
    </w:p>
    <w:p>
      <w:r>
        <w:rPr>
          <w:b/>
        </w:rPr>
        <w:t>E. 9</w:t>
      </w:r>
    </w:p>
    <w:p>
      <w:r>
        <w:t>Le dossier est complet et permet à la Cour de céans de statuer en pleine connaissance de cause. Il n’y a dès lors pas lieu de compléter l’instruction par la mise en œuvre d’une expertise bidisciplinaire psychiatrique et rhumatologique . Une telle mesure ne serait en effet pas de nature à modifier les considérations qui précèdent, les faits pertinents ayant pu être constatés à satisfaction de droit ( appréciation anticipée des preuves : ATF 145 I 167 consid. 4.1 ; 140 I 285 consid. 6.3.1). La requête de la recourante en ce sens doit ainsi être rejetée.</w:t>
      </w:r>
    </w:p>
    <w:p>
      <w:r>
        <w:rPr>
          <w:b/>
        </w:rPr>
        <w:t>E. 10</w:t>
      </w:r>
    </w:p>
    <w:p>
      <w:r>
        <w:t>a) Compte tenu de ce qui précède, le recours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Toutefois, celle-ci étant au bénéfice de l’assistance judiciaire limitée aux frais de justice, les frais judiciaires mis à sa charge ci-avant seront provisoirement assumés par l’Etat. La recourante est cependant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[règlement cantonal vaudois du 7 décembre 2010 sur l’assistance judiciaire en matière civile ; BLV 211.02.3]).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