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2025 / 224 vom 15. August 2025</w:t>
      </w:r>
    </w:p>
    <w:p>
      <w:r>
        <w:t>VD Tribunal cantonal, 2025-08-15, FR</w:t>
      </w:r>
    </w:p>
    <w:p>
      <w:r>
        <w:rPr>
          <w:b/>
        </w:rPr>
        <w:t xml:space="preserve">Quelle: </w:t>
      </w:r>
      <w:r>
        <w:t>https://mcp.opencaselaw.ch/entscheid/vd_findinfo_Arr_t___2025___224</w:t>
      </w:r>
    </w:p>
    <w:p>
      <w:r>
        <w:t>FR: VD_FINDINFO Arrêt / 2025 / 224 du 15 août 2025</w:t>
      </w:r>
    </w:p>
    <w:p>
      <w:r>
        <w:t>IT: VD_FINDINFO Arrêt / 2025 / 224 del 15 agosto 2025</w:t>
      </w:r>
    </w:p>
    <w:p>
      <w:pPr>
        <w:pStyle w:val="Heading2"/>
      </w:pPr>
      <w:r>
        <w:t>Regeste</w:t>
      </w:r>
    </w:p>
    <w:p>
      <w:r>
        <w:t>RENTE D'INVALIDITÉ, ÉVALUATION DE L'INCAPACITÉ DE TRAVAIL, ÉVALUATION DE L'INVALIDITÉ, REFORMATIO IN PEJUS | 28 LAI, 17 LPGA, 61 let. d LPGA, 8 LPGA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a) Au vu de ce qui précède, le recours, mal fondé, doit être rejeté et les décisions de l’intimé des 26 mai et 6 juin 2023 doivent être réformées en ce sens que la recourante n’a pas droit à une rente de l’assurance-invalidité. b) La procédure de recours en matière de contestations portant sur l’octroi ou le refus de prestations de l’assurance-invalidité est soumise à des frais de justice (art. 69 al. 1bis LAI). Il convient de les fixer à 600 fr. et de les mettre à la charge de la recourante, vu le sort de ses conclusions. c) Il n’y a pas lieu d’allouer de dépens à la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