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148 vom 7. März 2025</w:t>
      </w:r>
    </w:p>
    <w:p>
      <w:r>
        <w:t>VD Tribunal cantonal, 2025-03-07, FR</w:t>
      </w:r>
    </w:p>
    <w:p>
      <w:r>
        <w:rPr>
          <w:b/>
        </w:rPr>
        <w:t xml:space="preserve">Quelle: </w:t>
      </w:r>
      <w:r>
        <w:t>https://mcp.opencaselaw.ch/entscheid/vd_findinfo_Arr_t___2025___148</w:t>
      </w:r>
    </w:p>
    <w:p>
      <w:r>
        <w:t>FR: VD_FINDINFO Arrêt / 2025 / 148 du 7 mars 2025</w:t>
      </w:r>
    </w:p>
    <w:p>
      <w:r>
        <w:t>IT: VD_FINDINFO Arrêt / 2025 / 148 del 7 marzo 2025</w:t>
      </w:r>
    </w:p>
    <w:p>
      <w:pPr>
        <w:pStyle w:val="Heading2"/>
      </w:pPr>
      <w:r>
        <w:t>Regeste</w:t>
      </w:r>
    </w:p>
    <w:p>
      <w:r>
        <w:t>RENTE D'INVALIDITÉ, ATTEINTE À LA SANTÉ PHYSIQUE, ATTEINTE À LA SANTÉ PSYCHIQUE, ÉVALUATION DE L'ATTEINTE À LA SANTÉ, FORCE PROBANTE, LIBRE APPRÉCIATION DES PREUVES, DÉCISION DE RENVOI | 28 al. 1 LAI, 29 al. 1 LAI, 4 al. 1 LAI, 43 al. 1 LPGA, 6 LPGA, 61 let. c LPGA, 7 LPGA, 8 LPGA</w:t>
      </w:r>
    </w:p>
    <w:p>
      <w:pPr>
        <w:pStyle w:val="Heading2"/>
      </w:pPr>
      <w:r>
        <w:t>Erwägungen</w:t>
      </w:r>
    </w:p>
    <w:p>
      <w:r>
        <w:rPr>
          <w:b/>
        </w:rPr>
        <w:t>E. 7</w:t>
      </w:r>
    </w:p>
    <w:p>
      <w:r>
        <w:t>Quelles sont les ressources encore mobilisables par l’assuré ?</w:t>
      </w:r>
    </w:p>
    <w:p>
      <w:r>
        <w:rPr>
          <w:b/>
        </w:rPr>
        <w:t>E. 8</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9C_259/2022 du 20 septembre 2022 consid. 5.1.1 et les références).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 ATSG-Kommentar, 4 ème éd., 2020, n os 17 et 29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l’occurrence, il s’impose d’annuler la décision entreprise et de renvoyer la cause à l’intimé, pour instruction complémentaire. Le SMR a reconnu qu’il est nécessaire d’instruire l’aggravation de l’état de santé somatique du recourant, notamment s’agissant de l’aggravation des atteintes pulmonaires alléguées par son médecin traitant dans son rapport du 12 octobre 2024 et de compléter l’instruction quant à son état de santé psychique. Dans ce contexte, il fait sens de renvoyer la cause à l’OAI afin qu’il mette en œuvre une expertise médicale pluridisciplinaire du recourant, destinée à clarifier le tableau clinique global présenté par ce dernier depuis 2018. Une fois l’instruction complétée, il appartiendra à l’intimé de fixer le degré d’invalidité du recourant.</w:t>
      </w:r>
    </w:p>
    <w:p>
      <w:r>
        <w:rPr>
          <w:b/>
        </w:rPr>
        <w:t>E. 9</w:t>
      </w:r>
    </w:p>
    <w:p>
      <w:r>
        <w:t>a) Le recours doit dès lors être admis et la décision litigieuse annulée, la cause étant renvoyée à l’intimé pour instruction complémentaire dans le sens des considérants et nouvelle décision. b) La procédure de recours en matière de contestations portant sur des prestations de l’assurance-invalidité est soumise à des frais de justice (art. 69 al. 1 bis LAI). Il convient de les fixer à 600 fr. et de les mettre à la charge de l’intimé, vu l’issue du litige. c) Le recourant obtient gain de cause et a droit à une indemnité de dépens à titre de participation aux honoraires de son conseil (art. 61 let. g LPGA). Aussi, compte tenu de l’importance et de la complexité du litige, il convient d’arrêter l’indemnité à 2’500 fr., débours et TVA compris, et de la mettre intégralement à la charge de l’intimé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