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143 vom 11. Juni 2025</w:t>
      </w:r>
    </w:p>
    <w:p>
      <w:r>
        <w:t>VD Tribunal cantonal, 2025-06-11, FR</w:t>
      </w:r>
    </w:p>
    <w:p>
      <w:r>
        <w:rPr>
          <w:b/>
        </w:rPr>
        <w:t xml:space="preserve">Quelle: </w:t>
      </w:r>
      <w:r>
        <w:t>https://mcp.opencaselaw.ch/entscheid/vd_findinfo_Arr_t___2025___143</w:t>
      </w:r>
    </w:p>
    <w:p>
      <w:r>
        <w:t>FR: VD_FINDINFO Arrêt / 2025 / 143 du 11 juin 2025</w:t>
      </w:r>
    </w:p>
    <w:p>
      <w:r>
        <w:t>IT: VD_FINDINFO Arrêt / 2025 / 143 del 11 giugno 2025</w:t>
      </w:r>
    </w:p>
    <w:p>
      <w:pPr>
        <w:pStyle w:val="Heading2"/>
      </w:pPr>
      <w:r>
        <w:t>Regeste</w:t>
      </w:r>
    </w:p>
    <w:p>
      <w:r>
        <w:t>NOUVELLE DEMANDE, REJET DE LA DEMANDE, ÉVALUATION DE L'ATTEINTE À LA SANTÉ, LIBRE APPRÉCIATION DES PREUVES, RENTE D'INVALIDITÉ | 17 LPGA, 6 LPGA, 61 let. c LPGA, 7 LPGA, 8 LPGA, 87 al. 2 RAI, 87 al. 3 RAI</w:t>
      </w:r>
    </w:p>
    <w:p>
      <w:pPr>
        <w:pStyle w:val="Heading2"/>
      </w:pPr>
      <w:r>
        <w:t>Erwägungen</w:t>
      </w:r>
    </w:p>
    <w:p>
      <w:r>
        <w:rPr>
          <w:b/>
        </w:rPr>
        <w:t>E. 11</w:t>
      </w:r>
    </w:p>
    <w:p>
      <w:r>
        <w:t>juin 2025 __________________ Composition :               M. Piguet , président M. Neu, juge, et Mme Manasseh-Zumbrunnen, assesseure Greffier : M.              Germond ***** Cause pendante entre : A.__________ , à [...], recourant, représenté par Me Baris Bostan, avocat à Yverdon-les-Bains, et Office de l'assurance-invalidité pour le canton de Vaud , à Vevey, intimé. _______________ Art. 6 s., 17 et 61 let. c LPGA ; 87 al. 2 – 3 RAI E n  f a i t  : A. A.__________ (ci-après : l’assuré ou le recourant), né en [...], sans formation, travaille depuis le 1 er octobre 2002 comme vendeur-réceptionniste pour l’entreprise D.________ SA. Souffrant de séquelles de traumatismes au pied droit et à la cheville gauche consécutifs à deux accidents survenus les 3 septembre 2008 et 12 août 2014, il a déposé le 8 septembre 2015, une première demande de prestations de l’assurance-invalidité auprès de l’Office de l’assurance-invalidité pour le canton de Vaud (ci-après : l’OAI ou l’intimé). Par décision du 16 juillet 2019, l’OAI a octroyé à l’assuré une rente entière d’invalidité du 1 er mars au 30 avril 2016, une demi-rente du 1 er mai au 30 juin 2016, une rente entière du 1 er juillet au 31 août 2016 et une demi-rente du 1 er septembre 2016 au 31 mai 2017. Cette décision n’a pas été contestée. B. Le 6 octobre 2022, A.__________, a par l’intermédiaire du Dr E.__________, médecin praticien et médecin-traitant, transmis à l’OAI les pièces médicales suivantes : - un rapport du 15 janvier 2019 du Dr X.________, spécialiste en chirurgie orthopédique et traumatologie de l’appareil locomoteur, lequel faisait état de difficultés à la marche avec des douleurs situées de manière assez étendue dans la base M5 à droite, dans la cuboïdo-métatarsienne et dans les parties molles au bord externe du pied, et ainsi que d’une sensibilité à la palpation qui restait très importante et de douleurs. Sur le plan orthopédique, il n’y avait pas de solution additionnelle à proposer ni d’intervention prévue. La capacité de travail de l’assuré était « théoriquement possible » à 100 % dans une activité exclusivement sédentaire, précisant qu’elle ne pouvait excéder 50 % dans tout autre type d’activité; - des rapports des 3 et 8 décembre 2021 du Dr Q.________, spécialiste en médecine interne générale et en cardiologie, décrivant les résultats rassurants d’une coronographie de contrôle du 7 décembre 2018. Il ressortait de ces rapports que l’assuré souffrait d’une maladie coronarienne monotronculaire, pour laquelle il avait bénéficié de la pose de deux stents le 18 mars 2021; - un rapport du</w:t>
      </w:r>
    </w:p>
    <w:p>
      <w:r>
        <w:rPr>
          <w:b/>
        </w:rPr>
        <w:t>E. 12</w:t>
      </w:r>
    </w:p>
    <w:p>
      <w:r>
        <w:t>janvier 2022 du Dr X.________, lequel soulignait une nouvelle fois n’avoir pas de « solution validée » pour le traitement de l’arthrose des articulations TMT 4 et 5, excepté éventuellement une infiltration par plasma riche en plaquettes (PRP) pour laquelle il allait faire une demande au Dr J.________, spécialiste en médecine physique et réadaptation. Les autres mesures pouvaient être d’ordre professionnel avec une diminution du temps de travail; - un rapport du 23 mars 2022 du Dr J.________, lequel était favorable à un essai de PRP intra-articulaire même si les chances de succès étaient inconnues et le cas échéant, ne pourraient être que temporaires; - un rapport du 12 juillet 2022 des Dres F.________, cheffe de clinique et spécialiste en médecine interne générale, et B.________, médecin-assistant, consécutif au séjour de l’assuré auprès du Service de réadaptation de l’appareil locomoteur de la Clinique romande de réadaptation, du 24 mai au 14 juin 2022, lesquelles estimaient que le pronostic de réinsertion dans une activité respectant les limitations fonctionnelles de l’assuré (pas de travail en position debout, pas de port de charges supérieures à cinq kilos, pas de marche prolongée, pas de marche en terrain irrégulier, pas de montée/descente d’escaliers et d’échelles et de positions contraignantes pour la cheville [position accroupie]) était favorable; - un rapport du 3 octobre 2022, du Dr E.__________, lequel retenait les diagnostics – avec  incidence sur la capacité de travail – de séquelles traumatiques du pied droit sur fracture de la base du 5 ème métatarsien, de séquelles traumatiques à la suite d’une entorse sévère de la cheville gauche (avec fracture du thalamus), de status après ablation d’un névrome stripping total du nerf sural cutané externe à droite, d’arthrose cuboïdo-métatarsienne 4 à 5 (avec diastasis de l’espace articulaire entre l’os cuboïde et la 5 ème métatarse), de lombalgies et sciatalgies chroniques droites et de cardiopathie ischémique. La capacité de travail était évaluée entre 30 et 50 % dans une activité adaptée aux limitations fonctionnelles (pas de travail en position debout ; pas de port de charges supérieures à 5 kilos ; pas de marche prolongée ; pas de marche en terrain irrégulier ; pas de montée et descente des escaliers, d’échelles ; pas de position contraignante pour la cheville [accroupie]). A la demande de l’OAI, l’assuré a formalisé sa nouvelle demande de prestations en déposant le formulaire ad hoc le 21 octobre 2022. Il a précisé à cette occasion qu’il exerçait son activité habituelle de vendeur/magasinier/réceptionniste auprès de D.________ SA au taux de 32 % (50 % sur un taux de 64 %) depuis le 1 er décembre 2021. Le 14 décembre 2022, l’OAI a fait verser au dossier le dossier constitué par l’assureur-accidents de l’employeur de l’assuré (la Caisse nationale suisse d’assurance en cas d’accidents [CNA]). Dans un rapport du 17 novembre 2022 établi à la demande de la CNA, le Dr G.________, spécialiste en chirurgie orthopédique et traumatologie de l’appareil locomoteur, a constaté que l’assuré souffrait principalement d’un syndrome douloureux chronique au membre inférieur droit et qu’il n’existait pas de traitement “Gold Standard” pour solutionner la problématique. Il a cependant prescrit un traitement de Neurodol Patch et demandé au médecin traitant d'introduire du Pregabalin à dose progressive. Le Dr G.________ se proposait en outre d’organiser des infiltrations de Depo-Medrol 40 mg et Xylocaine 2% de la TMT 4-5 du pied droit (trois fois par an sous ultrasons par le radiologue) et en tout cas une fois du fascia plantaire gauche. Du point de vue orthopédique, le taux d’activité de 50 % du taux habituel de 64% devait être maintenu car il permettait à l’assuré de conserver une vie socioprofessionnelle active ; une reconversion professionnelle semblait illusoire vu l’âge de celui-ci. Dans un rapport du 17 janvier 2023, le Dr Q.________ a informé l’OAI qu’il n’avait plus revu l’assuré depuis une année et que la situation était alors « tout à fait favorable » en l’absence de pathologie cardiologique susceptible de représenter une limitation professionnelle. Ce médecin renvoyait auprès du médecin traitant concernant une éventuelle limitation fonctionnelle extracardiaque. Dans un rapport du 6 février 2023, le Dr E.__________ a évalué la capacité de travail résiduelle à 32 % dans l’activité habituelle et à 50 % dans une activité adaptée. Dans un rapport d’examen médical du 24 mai 2023, la Dre H.________, médecin d’arrondissement de la CNA, a, en l’absence de traitement chirurgical pour soulager l’assuré, constaté la stabilisation du cas sur le plan médical. De son point de vue, l’incapacité de travail était totale dans l’activité habituelle ; à l’inverse, dans une activité adaptée respectant strictement les limitations fonctionnelles (pas d’activité nécessitant des marches répétées et/ou prolongées, pas de marche en terrain irrégulier, pas de travail en position debout, pas de port de charges supérieures à 5 kg, pas de montées et descentes d’escaliers, d’échelles ou d’échafaudages et pas de position contraignante pour la cheville [accroupie ou à genoux]), la capacité de travail était entière sans diminution de rendement. Par avis du 4 juillet 2023, le SMR, sur la base de sa propre analyse des éléments médicaux récoltés au dossier, a validé le point de vue de la Dre H.________ et retenu que les limitations fonctionnelles rendaient l’activité habituelle inadaptée mais que l’assuré disposait d’une capacité de travail entière depuis toujours dans une activité adaptée de type sédentaire. Par projet de décision du 7 juillet 2023, l’OAI a fait part à l’assuré de son intention de rejeter sa nouvelle demande de prestations, au motif que le degré d’invalidité (7 %), calculé d’après la méthode mixte d’évaluation de l’invalidité, était insuffisant pour donner droit à une rente d’invalidité et à des mesures professionnelles (sous réserve de l’octroi d’une mesure d’aide au placement). Le 8 septembre 2023, l’assuré, par courrier de son conseil Me Baris Bostan, s’est opposé à ce projet, contestant l’existence d’une pleine capacité de travail et de gain dans une activité adaptée à son état de santé, l’exigibilité d’une reconversion professionnelle et le calcul du degré d’invalidité. Par décision du 7 décembre 2023, l’OAI a formellement rejeté la demande de prestations de l’assuré, au motif que le degré d’invalidité, fixé désormais à 20 % (selon la méthode mixte d’évaluation de l’invalidité), était insuffisant pour donner droit à une rente d’invalidité et à des mesures professionnelles. B. a) Par acte du 23 janvier 2024, A.__________, toujours représenté par Me Bostan, a saisi la Cour des assurances sociales du Tribunal cantonal d’un recours contre la décision rendue le 7 décembre 2023 par l’OAI, concluant principalement à sa réforme dans le sens de l’octroi d’une rente entière d’invalidité dès le 1 er avril 2023 et, subsidiairement, à son annulation et au renvoi du dossier à l’OAI pour complément d’instruction. En substance, il contestait la capacité de travail entière dans une activité adaptée aux limitations fonctionnelles prise en compte. Il reprochait plus particulièrement à l’OAI de se baser sur le rapport d’examen du 24 mai 2023 de la Dre H.________, sans expliquer pour quels motifs il s’écartait des réserves émises par les médecins de la CRR dans leur rapport de sortie du 12 juillet 2022 et par le DrG.________ dans son rapport du 17 novembre 2022, alors même que ce médecin préconisait son maintien au taux résiduel de 32 % (soit le 50 % du taux habituel de 64 %) dans l’actuel poste de travail. De même, il contestait l’exigibilité d’un changement d’activité au vu de son âge (58 ans), de l’absence de formation professionnelle et de l’exercice de la même activité depuis vingt ans. Il contestait également le statut retenu par l’OAI et, partant, le recours à la méthode mixte d’évaluation de l’invalidité ; il estimait que la méthode ordinaire de comparaison des revenus s’appliquait en l’espèce, dès lors qu’il avait toujours travaillé à plein temps avant d’être invalide et aurait maintenu une pleine activité professionnelle s’il était demeuré en bonne santé. Il contestait enfin les termes de la comparaison des revenus effectuée pour déterminer son degré d’invalidité. A titre de mesure d’instruction, il a sollicité la mise en œuvre par le tribunal d’une expertise pluridisciplinaire. b) Dans sa réponse du 11 mars 2024, l’OAI a conclu au rejet du recours et à la confirmation de la décision querellée. Soulignant le caractère probant du rapport du 24 mai 2023 de la Dre H.________, il a renvoyé à l’avis SMR du 4 juillet 2023, en précisant que, si les médecins de la CRR et le Dr G.________ avaient émis des réserves, celles-ci se rapportaient à l’exercice de l’actuel poste de travail. Certes, la description des limitations fonctionnelles de l’assuré avait quelque peu évolué depuis 2019 ; elles restaient cependant respectées dans des activités adaptées telles que retenues par son service de réadaptation professionnelle. S’agissant de la problématique du statut applicable, l’OAI a renvoyé aux explications précédemment fournies. Sur la question du droit à des mesures d’ordre professionnel, l’OAI constatait que c’est l’assuré qui avait fait le choix de ne pas changer d’activité alors qu’un changement d’activité était exigible de sa part depuis 2019. c) Dans sa réplique du 8 mai 2024, l’assuré a maintenu ses conclusions en faisant fait valoir que son état de santé s’était encore péjoré en raison d’une arthrose débutante à la cheville gauche et d’atteintes aux membres supérieurs, notamment les canaux carpiens et l’épaule droite. Il a fait verser en la cause un rapport du 25 mars 2024 du DrE.__________ et un rapport du 23 avril 2024 du DrG.________. Il a également indiqué que son employeur avait été contraint de réduire son taux d’activité à compter du 1 er septembre 2024 car, même après adaptation du poste, il ne parvenait pas à poursuivre son travail au taux habituel. d) Le 29 mai 2024, l’assuré a fait verser en la cause un rapport du 17 mai 2024 de la Dre P.________, spécialiste en anesthésiologie, de l’Institut Suisse de la Douleur, laquelle relevait que l’assuré n’avait pas bénéficié d’une évaluation psychique dans le cadre de ses douleurs chroniques, qu’il présentait une importante diminution de l’humeur et qu’il souhaitait consulter ; une évaluation était d’ailleurs prévue au mois de juin 2024 afin de discuter l’indication d’un suivi en externe. e) Dans sa duplique du 11 juin 2024, l’OAI a une nouvelle fois conclu au rejet du recours et à la confirmation de la décision litigieuse. Il a fait verser en la cause des avis SMR des 28 mai et 5 juin 2024, lesquels retenaient l’absence d’élément objectif nouveau justifiant une aggravation durable sur les plans somatique et psychique. f) Le 11 juillet 2024, l’assuré a insisté sur la nécessité d’une expertise pluridisciplinaire afin de déterminer ses « réelles » limitations fonctionnelles, précisant qu’il avait prochainement rendez-vous chez une psychologue. g) Le 17 juillet 2024, l’OAI a maintenu sa position et fait verser à la cause une décision sur opposition du 12 juillet 2024 de la CNA, laquelle faisait notamment état de l’absence de modification importante des atteintes à la santé qui avaient justifié l’octroi en 2017 d’une rente d’invalidité de l’assurance-accidents de 36 %. h) Dans d’ultimes déterminations du 11 octobre 2024, l’assuré a réitéré sa demande de mesure d’instruction destinée à déterminer ses limitations fonctionnelles et fait verser à la cause diverses pièces médicales faisant état d’un nouvel accident survenu le 12 juillet 2024 et de l’existence d’un trouble mixte de l’humeur de type anxio-dépressif. i) Le 6 novembre 2024, l’OAI a remarqué que les dernières pièces produites se rapportaient à un accident de travail postérieur à la décision attaquée, si bien qu’il n’y avait pas lieu d’en tenir compte.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une rente d’invalidité, singulièrement sur le degré d’invalidité à la base de cette prestation. b) Il convient de rappeler que, selon une jurisprudence constante, le juge des assurances sociales apprécie la légalité des décisions attaquées, en règle générale, d’après l’état de fait existant au moment de la clôture de la procédure administrative et que les faits survenus postérieurement et ayant modifié cette situation doivent faire l’objet d’une nouvelle décision administrative (ATF 144 V 210 consid. 4.3.1). 3. a) Dans le cadre du « développement continu de l'AI », la LAI, le RAI (règlement du</w:t>
      </w:r>
    </w:p>
    <w:p>
      <w:r>
        <w:rPr>
          <w:b/>
        </w:rPr>
        <w:t>E. 17</w:t>
      </w:r>
    </w:p>
    <w:p>
      <w:r>
        <w:t>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 er janvier 2022, la situation est régie par les nouvelles dispositions légales et réglementaires en vigueur dès le 1 er janvier 2022. Concrètement, cela concerne toute demande d’octroi de rente d’invalidité déposée à partir du 1 er juillet 2021 compris (art. 29 al. 1 LAI, inchangé par la réforme). b) En l’occurrence, la nouvelle demande d’octroi d’une rente a été déposée le 6 octobre 2022 par le recourant. Ce sont donc les nouvelles dispositions légales et réglementaires en vigueur dès le 1 er janvier 2022 qui sont applicables.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d)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1 er janvier 2022),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la rente d’invalidité est, d’office ou sur demande, révisée pour l’avenir, à savoir augmentée, réduite ou supprimée, lorsque le taux d’invalidité de l’assuré subit une modification d’au moins 5 points de pourcentage (let. a), ou atteint 100 % (let. b). 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5. a) Le statut d’un assuré est déterminé en fonction de la situation professionnelle dans laquelle il se trouverait s’il n’était pas atteint dans sa santé. L’assuré est réputé exercer une activité lucrative au sens de l’art. 28a al. 1 LAI dès lors qu’en bonne santé, il exercerait une activité lucrative à un taux d’occupation de 100 % ou plus. Il est réputé ne pas exercer d’activité lucrative au sens de l’art. 28a al. 2 LAI dès lors qu’en bonne santé, il n’exercerait pas d’activité lucrative. Il est enfin réputé exercer une activité lucrative à temps partiel au sens de l’art. 28a al. 3 LAI dès lors qu’en bonne santé, il exercerait une activité lucrative à un taux d’occupation de moins de 100 %. b) aa)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(méthode ordinaire de comparaison des revenus ; art. 16 LPGA et 28a al. 1 LAI). bb)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(méthode « spécifique » d’évaluation de l’invalidité ; art. 28a al. 2 LAI et art. 8 al. 3 LPGA). Par travaux habituels des assurés travaillant dans le ménage, il faut entendre l’activité usuelle dans le ménage, ainsi que les soins et l’assistance apportés aux proches (art. 27 al. 1 RAI [règlement du 17 janvier 1961 sur l’assurance-invalidité ; RS 831.201] ; cf. Margit Moser-Szeless , in Dupont/Moser-Szeless [édit.], Loi sur la partie générale des assurances sociales, Commentaire romand, Bâle 2018, n. 52 ad art. 16 LPGA). cc) Le taux d’invalidité des personnes qui exercent une activité lucrative à temps partiel est déterminé par l’addition du taux d’invalidité en lien avec l’activité lucrative et du taux d’invalidité en lien avec les travaux habituels (méthode mixte d’évaluation de l’invalidité). Pour ce faire,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l’activité lucrative est ensuite déterminé selon l’art. 16 LPGA, en extrapolant le revenu sans invalidité pour une activité lucrative correspondant à un taux d’occupation de 100 %, en calculant le revenu avec invalidité sur la base d’une activité lucrative correspondant à un taux d’occupation de 100 % et en l’adaptant selon la capacité fonctionnelle déterminante, puis en pondérant la perte de gain exprimée en pourcentage en fonction du taux d’occupation qu’aurait l’assuré s’il n’était pas invalide. Quant au taux d’invalidité en lien avec les travaux habituels, il est calculé en déterminant le pourcentage que représentent les limitations dans les travaux habituels par rapport à la situation dans laquelle l’assuré serait sans invalidité, puis en pondérant le pourcentage ainsi déterminé en fonction de la différence entre le taux d’occupation qu’aurait l’assuré s’il n’était pas invalide et une activité lucrative exercée à plein temps (art. 28a al. 3 LAI et 27 bis RAI). dd)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6.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7. a) A titre liminaire, il sied d’expliquer qu’il n’est pas possible de suivre le raisonnement défendu par l’office intimé, selon lequel le statut actuel du recourant serait celui d’une personne exerçant une activité à temps partiel et consacrant le reste de son temps à l’accomplissement de ses travaux habituels, statut qui justifierait l’usage de la méthode mixte d’évaluation de l’invalidité. Le raisonnement tenu repose en effet sur la prémisse erronée que l’exercice d’une activité lucrative à temps partiel induirait nécessairement l’application de la méthode mixte d’évaluation de l’invalidité à la personne concernée. Cette interprétation ne correspond toutefois pas au système de la loi. L’art. 28 a al. 3 LAI prescrit de manière claire et non équivoque que la personne qui exerce une activité lucrative à temps partiel doit, pour que la méthode mixte d’évaluation de l’invalidité s’applique, consacrer le reste de son temps à l’accomplissement de ses travaux habituels. Or les travaux habituels que l’on doit prendre en compte, par le biais de la méthode spécifique, pour déterminer le degré d’empêchement, correspondent à l’activité usuelle dans le ménage (tenue du ménage, alimentation, entretien du logement, achats, lessive et repassage, soins aux enfants ou autres tâches liées au ménage), ainsi qu’aux soins et à l’assistance apportés aux proches (cf. art. 27 al. 1 RAI). En l’espèce, le recourant ne s’inscrit pas dans l’une des catégories décrites ci-dessus. Il n’y a aucun élément au dossier qui laisse à penser que celui-ci, depuis qu’il a réduit pour des raisons médicales son taux d’activité, consacre son temps à l’accomplissement de travaux habituels. Il résulte de ce qui précède que la méthode mixte d’évaluation de l’invalidité n’entre pas en ligne de compte dans le cas d’espèce et que c’est la méthode ordinaire de comparaison des revenus qu’il convient d’appliquer. 8. a) Cela étant posé, il convient de décrire la situation qui prévalait le 16 juillet 2019, soit au moment de la dernière décision entrée en force qui repose sur un examen matériel du droit à la rente. A la suite d’un accident le 3 septembre 2008, le recourant présentait un traumatisme du pied droit avec une fracture de la base du 5 e métatarsien et une tendinopathie du long fibulaire de la cheville droite avec des douleurs et limitations fonctionnelles du pied droit (pas de port de charges lourdes, pas de marche prolongée, pas de marche en terrain irrégulier, pas de montée et descente d’escaliers et d’échelles ainsi que pas de positions contraignantes pour la cheville [position accroupie]). Il présentait par ailleurs un status post entorse de grade III de la cheville gauche avec fracture in situ du talus et contusion le 12 août 2014, et une fasciite plantaire. L’OAI avait octroyé au recourant une rente entière d’invalidité du 1 er mars au 30 avril 2016, une demi-rente du 1 er mai au 30 juin 2016, une rente entière du 1 er juillet au 31 août 2016 et une demi-rente du 1 er septembre 2016 au 31 mai 2017. Ce faisant, il avait notamment retenu une capacité de travail de 100 % depuis le 13 février 2017 dans une activité adaptée à l’état de santé. b) Sur la base des différentes pièces versées au dossier, il apparaît que l’état de santé du recourant ne s’est pas aggravé, à tout le moins pas dans une mesure propre à influer sa capacité de travail, laquelle demeure entière dans une activité adaptée à ses limitations fonctionnelles. aa) Sur le plan orthopédique, la Dre H.________ a retenu, dans son rapport médical du 24 mai 2023, les diagnostics de douleurs chroniques mixtes neuropathiques et d’allure mécanique du pied droit dans les suites d’un traumatisme du pied le 8 septembre 2008, d’ostéosynthèse par deux broches de Kirschener et une greffe d’os sur la fracture de la base du 5 ème métatarsien (2008), d’ablation du matériel d’ostéosynthèse (2009), d’excision d’un névrome terminal du nerf sural droit et stripping de ce nerf (octobre 2012), d’arthroplastie d’interposition cuboïdo-M5 par du tenseur du fascia lata prélevé sur la cuisse homolatérale à droite et névrectomie du nerf sural jusqu’à son émergence entre le gastrocnémien (18 septembre 2015), d’arthrose de l’articulation TMT4-5 avec allodynie de la face dorsale et latérale du pied droit, d’importante entorse de grade II de la cheville gauche avec fracture du bord antéro-médian de l’astragale, d’enthésopathie calcifiante du tendon d’Achille au niveau de son insertion, et de dorsalgies para-scapulaires gauche d’origine musculosquelettique. Au vu de ces atteintes, la Dre H.________ a estimé que si l’incapacité de travail était totale dans l’activité habituelle, le recourant conservait toutefois, malgré l’aggravation de ses séquelles, une capacité de travail entière dans une activité adaptée à ses limitations fonctionnelles (pas d’activité nécessitant des marches répétées et/ou prolongées, pas de marche en terrain irrégulier, pas de travail en position debout, pas de port de charges supérieures à 5 kg, pas de montées et descentes d’escaliers, d’échelles ou d’échafaudages, pas de position contraignante pour la cheville [accroupie ou à genoux]). Cet avis, validé par le SMR le 4 juillet 2023, rejoint celui des médecins de la CRR (cf. rapport de sortie du 12 juillet 2022 des Dres F.________ et B.________), lesquels ont retenu que le pronostic de réinsertion, s’il était défavorable dans l’ancienne activité, était en théorie favorable dans une activité adaptée. Quant au Dr G.________ (rapport du 17 novembre 2022), il a également reconnu l’existence d’une capacité de travail entière dans une activité adaptée aux restrictions présentées ; il s’est toutefois déclaré favorable au maintien de l’activité habituelle exercée à taux réduit, au motif qu’une reconversion professionnelle semblait illusoire vu l’âge du recourant. Il est vrai que dans son rapport du 3 octobre 2022, le Dr E.__________ a évalué la capacité de travail résiduelle du recourant entre 30 et 50 %. Dans son rapport du 25 mars 2024, ce médecin a toutefois nuancé son propos en soulignant également que le pronostic de réinsertion dans une activité adaptée était en théorie favorable. S’agissant des réserves émises par les médecins de la CRR, par le Dr G.________ et par le Dr E.__________, elles concernant avant tout un éventuel aménagement du poste de travail actuel du recourant, exercé à taux réduit auprès de l’entreprise familiale D.________ SA. Or il est établi de longue date que cette activité de logisticien pièces détachées automobile n’est qu’en partie adaptée à l’état de santé du recourant ; en tout état de cause ces éléments ne sont pas de nature à susciter un doute quant au fait que le recourant dispose d’une pleine capacité de travail dans une activité adaptée respectant strictement ses restrictions fonctionnelles. bb) Sur le plan cardiologique, le recourant est connu pour une maladie coronarienne mixte, hypertensive et ischémique avec pose de stents en mars 2021. De l’avis du Dr Q.________, le recourant ne présente pas de pathologie cardiologique susceptible d’affecter sa capacité de travail. cc) Sur le plan de la médecine générale, le recourant présente un syndrome métabolique avec hypertension artérielle sous bithérapie, une dyslipidémie traitée, un prédiabète, une obésité de grade I, ainsi qu’une sciatalgie chronique droite. Rien au dossier ne laisse à penser que ces atteintes auraient une influence quant à l’exercice d’une activité adaptée aux limitations fonctionnelles du recourant. c) Pour le surplus, il n’y a pas lieu de tenir compte, dans le cadre de l’appréciation de la situation, des rapports médicaux faisant état, d’une part, de canaux carpiens à traiter et de scapulalgies droites (rapport du Dr E.__________ du 25 mars 2024) et, d’autre part, d’un trouble mixte de l’humeur de type anxio-dépressif (rapport de la Dre P.________ du 19 septembre 2024), lesdites affections étant apparues postérieurement à la décision litigieuse. d) Au vu du contenu des diverses pièces au dossier, un complément d’instruction apparaît ainsi superflu et la requête formulée en ce sens par le recourant dans son acte de recours du 4 décembre 2021 – soit la réalisation d’une expertise judiciaire – doit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145 I 167 consid. 4.1 ; 140 I 285 consid. 6.3.1 ; 130 II 425 consid. 2.1). 9. S’agissant de la problématique de l’exigibilité d’une reconversion professionnelle compte tenu d’un âge proche de celui donnant droit à la rente de vieillesse, il n’y a pas lieu de l’examiner, eu égard à l’absence de modification notable de la situation. Il convient de rappeler que la problématique de la reconversion professionnelle avait déjà été mise en évidence dans le cadre de l’examen de la première demande de prestations déposée par le recourant et que, nonobstant les constats médicaux posés à l’époque et l’offre d’aide proposée par l’office intimé, le recourant a fait le choix de poursuivre son activité habituelle, quand bien même celle-ci n’était pas compatible avec ses limitations fonctionnelles. Il ne saurait, quelques années plus tard, tirer parti sur le plan assécurologique d’une situation à laquelle il a contribué. Les autres motifs invoqués s’agissant de l’absence de formation professionnelle et de l’exercice de la même activité, déjà adaptée, depuis vingt ans, n’ont également pas à être examinés. 10. Faute de modification notable des circonstances, il n’apparaît pas nécessaire de procéder à une nouvelle comparaison des revenus (cf. TF 9C_522/2011 du 8 février 2012 consid. 4.2 a contrario ; voir également TF 9C_577/2021 du 23 juin 2022 consid. 6), si bien que les griefs formulés à l’encontre de la comparaison des revenus effectuée par l’office intimé peuvent demeurer indécis. 11. a) Mal fondé, le recours doit être rejeté et la décision attaquée confirmée. b) La procédure de recours en matière de contestations portant sur des prestations de l’assurance-invalidité est soumise à des frais de justice (art. 69 al. 1 bis LAI). Il convient de les fixer à 600 fr. et de les mettre à la charge du recourant, vu le sort de ses conclusions. c)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