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122 vom 7. Februar 2025</w:t>
      </w:r>
    </w:p>
    <w:p>
      <w:r>
        <w:t>VD Tribunal cantonal, 2025-02-07, FR</w:t>
      </w:r>
    </w:p>
    <w:p>
      <w:r>
        <w:rPr>
          <w:b/>
        </w:rPr>
        <w:t xml:space="preserve">Quelle: </w:t>
      </w:r>
      <w:r>
        <w:t>https://mcp.opencaselaw.ch/entscheid/vd_findinfo_Arr_t___2025___122</w:t>
      </w:r>
    </w:p>
    <w:p>
      <w:r>
        <w:t>FR: VD_FINDINFO Arrêt / 2025 / 122 du 7 février 2025</w:t>
      </w:r>
    </w:p>
    <w:p>
      <w:r>
        <w:t>IT: VD_FINDINFO Arrêt / 2025 / 122 del 7 febbraio 2025</w:t>
      </w:r>
    </w:p>
    <w:p>
      <w:pPr>
        <w:pStyle w:val="Heading2"/>
      </w:pPr>
      <w:r>
        <w:t>Regeste</w:t>
      </w:r>
    </w:p>
    <w:p>
      <w:r>
        <w:t>RENTE D'INVALIDITÉ, RÉVISION{PRESTATION D'ASSURANCE}, RETRAITE ANTICIPÉE | 16 LPGA, 17 LPGA</w:t>
      </w:r>
    </w:p>
    <w:p>
      <w:pPr>
        <w:pStyle w:val="Heading2"/>
      </w:pPr>
      <w:r>
        <w:t>Erwägungen</w:t>
      </w:r>
    </w:p>
    <w:p>
      <w:r>
        <w:rPr>
          <w:b/>
        </w:rPr>
        <w:t>E. 7</w:t>
      </w:r>
    </w:p>
    <w:p>
      <w:r>
        <w:t>février 2025 __________________ Composition : M. Piguet , président M. Neu et Mme Brélaz Braillard, juges Greffier : M. Favez ***** Cause pendante entre : Caisse A.________ , à [...], recourante, et Office de l’assurance-invalidité pour le canton de Vaud , à Vevey, intimé, B. ________ , à [...], partie intéressée. _______________ Art. 17 LPGA E n  f a i t  : A. a) B.________, né en 19 [...], travaillait depuis 2001 en qualité de maçon pour le compte de la société C.________ SA. b) Le 23 janvier 2023, B.________ a chuté après avoir glissé sur une plaque de glace. Souffrant d’une fracture comminutive intra-articulaire du plateau tibial avec lésion de grade III du ligament latéral interne et déchirure quasi-complète du ménisque latéral, il a été opéré le 27 janvier 2023. Cet accident a été pris en charge par la Caisse nationale suisse d’assurance en cas d’accidents (ci-après : la CNA). Malgré une évolution initialement favorable, l’assuré a gardé des douleurs et une sensation d’instabilité à la marche qui ont empêché la reprise du travail. Il a séjourné à la Clinique D.________ du 3 octobre au 7 novembre 2023. A l’issue de ce séjour, il a fait l’objet d’un suivi personnalisé de la part de la CNA et a pu reprendre progressivement une activité adaptée auprès de son employeur à raison de 20% du 1 er au 14 mars 2024 de 50 % du 15 au 31 mars 2024 et de 100% du 1 er au 30 avril 2024, date à laquelle il a pris sa retraite anticipée. c) Dans l’intervalle, B.________ a fait valoir auprès de la Caisse A.________ (ci-après : la recourante) ses droits à une retraite anticipée. Une rente transitoire lui est allouée depuis le 1 er mai 2024. d) Le</w:t>
      </w:r>
    </w:p>
    <w:p>
      <w:r>
        <w:rPr>
          <w:b/>
        </w:rPr>
        <w:t>E. 9</w:t>
      </w:r>
    </w:p>
    <w:p>
      <w:r>
        <w:t>juin 2023, B.________ a déposé une demande de prestations de l’assurance-invalidité auprès de l’Office de l’assurance-invalidité pour le canton de Vaud (ci-après : l’office AI ou l’office intimé). Au terme de l’instruction du dossier, l’office AI a, par décision du 18 juillet 2024, alloué à l’assuré une rente entière d’invalidité du 1 er janvier au 30 avril 2024. A l’appui de celles-ci, l’office AI a notamment expliqué que, dans la mesure où l’assuré avait pris une retraite anticipée au 1 er mai 2024, il convenait de lui reconnaître à compter de cette date le statut d’une personne qui n’exerce pas d’activité lucrative et d’appliquer la méthode spécifique d’évaluation de l’invalidité. Etant donné que l’assuré ne présentait aucun empêchement dans l’accomplissement de ses travaux habituels, il ne présentait par conséquent plus d’invalidité à compter de cette date. B. a) Par acte du 17 septembre 2024, la Caisse A.________ a déféré la décision du 18 juillet 2024 devant la Cour des assurances sociales du Tribunal cantonal, concluant, sous suite de frais et dépens, principalement à la réforme de ladite décision en ce sens que B.________ a droit à une rente entière d’invalidité du 1 er janvier au 30 juin 2024 et à une demi-rente d’invalidité depuis le 1 er juillet 2024 et subsidiairement à l’annulation de ladite décision et au renvoi de la cause à l’office AI pour instruction complémentaire et nouvelle décision. En substance, elle estimait que l’assuré n’était pas en droit de renoncer aux prestations qu’il était en droit d’obtenir de l’assurance-invalidité au profit d’une rente transitoire de la prévoyance surobligatoire et que c’était à tort que l’office AI avait considéré que l’assuré était une personne sans activité lucrative accomplissant ses travaux habituels. b) Dans sa réponse du 28 octobre 2024, l’office AI a conclu au rejet du recours et à la confirmation de la décision attaquée. c) Le dossier de la CNA a été versé à la présente cause. d) Dans ses déterminations du 9 décembre 2024, la Caisse A.________ a exprimé le sentiment, après lecture du dossier de la CNA, que le traitement du dossier avait été orienté dans le sens que B.________ puisse bénéficier d’une rente transitoire et que la charge du paiement de ladite rente repose sur ses épaules, alors même que B.________ était éligible aux prestations de l’assurance-invalidité. e) Invité à se déterminer sur les écritures des parties en qualité de tiers intéressé à la procédure, B.________ a, par courrier du 17 décembre 2024, conclu au rejet du recours.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c) Il y a par ailleurs lieu de reconnaître la qualité pour recourir de Caisse A.________, dès lors que l’étendue de son obligation de prester à l’égard de B.________ est intrinsèquement liée à la nature de la décision rendue par l’office intimé et que, partant, ses intérêts de fait et de droit sont particulièrement affecté par la décision attaquée (ATF 144 V 29 consid. 3 ; 134 V 153 consid. 4.1). 2. a) Le litige porte sur le droit de B.________ à une rente de l’assurance-invalidité, singulièrement sur la question du bien-fondé du changement de méthode d’évaluation de l’invalidité effectué par l’office intimé à la suite du départ en retraite anticipée de B.________ à compter du 1 er mai 2024. b) Cela étant, il convient de préciser que le présent litige n’est pas le lieu pour examiner les conditions d’octroi d’une rente transitoire selon les dispositions du règlement du Fonds G.________ de la Caisse A.________. Autrement dit, il n’appartient pas à la Cour de céans de se prononcer quant aux effets que le présent arrêt pourrait avoir sur le droit de B.________ à une rente transitoire de la Caisse A.________.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Ainsi, les dispositions de la LAI et celles du règlement du 17 janvier 1961 sur l’assurance-invalidité (RAI ; RS 831.201) dans leur version entrée en vigueur le 1 er janvier 2022 s’appliquent à toutes les rentes qui prennent naissance à partir du 1 er janvier 2022 et sont donc applicables dans le cas d’espèce. 4.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D’après l’art. 28 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c) Aux termes de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 5. 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b) Une révision peut se justifier lorsqu’un autre mode d’évaluation de l’invalidité est applicable. Ainsi, le Tribunal fédéral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consid. 1b/aa ; 113 V 275 consid. 1a et les références). c)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6.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 a al. 1 LAI en corrélation avec l’art. 16 LPGA) et ses sous-variantes, la méthode de comparaison en pour-cent (ATF 114 V 310 consid. 3a et les références citées) et la méthode extraordinaire de comparaison des revenus (ATF 128 V 29 ; également arrêt 9C_236/2009 du 7 octobre 2009 consid. 3 et 4). bb) Chez les assurés qui n’exerçaient pas d’activité lucrative avant d’être atteints dans leur santé physique, mentale ou psychique, qui accomplissaient leurs travaux habituels et dont il ne peut être exigé qu’ils entreprennent une activité lucrative, il y a lieu d’effectuer une comparaison des activités, en cherchant à établir dans quelle mesure l’assuré est empêché d’accomplir ses travaux habituels ; c’est la méthode spécifique d’évaluation de l’invalidité (art. 28 a al. 2 LAI en corrélation avec les art. 8 al. 3 LPGA et 27 RAI). Par travaux habituels, il faut entendre l’activité usuelle dans le ménage, ainsi que les soins et l’assistance apportée aux proches (art. 27 RAI). cc)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 a al. 3 LAI en corrélation avec l’art. 27 bis RAI ; ATF 137 V 334 ; 131 V 51 consid. 5.1.2).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7. En l’occurrence, il n’est pas possible de suivre le raisonnement défendu par l’office intimé, selon lequel le statut actuel de B.________ serait celui d’une personne sans activité lucrative, justifiant, à compter du 1 er mai 2024, l’usage de la méthode spécifique d’évaluation de l’invalidité. Le raisonnement tenu repose en effet sur la prémisse erronée que l’absence d’exercice d’une activité lucrative induirait nécessairement l’application de la méthode spécifique d’évaluation de l’invalidité à la personne assurée concernée. Cette interprétation ne correspond toutefois pas au système de la loi. L’art. 28 a al. 2 LAI prescrit de manière claire et non équivoque que la personne qui n’exerce pas d’activité lucrative doit consacrer son temps à l’accomplissement de ses travaux habituels. Or les travaux habituels que l’on doit prendre en compte, par le biais de la méthode spécifique, pour l’évaluation de l’invalidité correspondent à l’activité usuelle dans le ménage (tenue du ménage, alimentation, entretien du logement, achats, lessive et repassage, soins aux enfants ou autres tâches liées au ménage), ainsi qu’aux soins et à l’assistance apportés aux proches (cf. art. 27 al. 1 RAI). En l’espèce, B.________ ne s’inscrit pas dans l’une des catégories décrites ci-dessus. Il n’y a aucun élément au dossier qui laisse à penser que celui-ci consacre, depuis son départ à la retraite, son temps à l’accomplissement de travaux habituels. Le fait qu’il ait répondu, dans un formulaire daté du 1 er mai 2024, de manière négative à la question de savoir s’il présentait des empêchements dans ses travaux habituels ne permet pas d’inférer, en l’absence d’éléments objectifs, qu’il s’attèle concrètement aux tâches ménagères, faute pour ledit questionnaire d’avoir demandé au préalable à B.________ s’il consacre effectivement son temps à l’accomplissement des travaux habituels. Il résulte de ce qui précède que la méthode spécifique d’évaluation de l’invalidité n’entre pas en ligne de compte dans le cas d’espèce (cf. TF 9C_36/2013 du 21 juin 2013 consid. 4.4.1). 8. a ) En vérité, le fait que le bénéficiaire d’une rente de l’assurance-invalidité prenne une retraite anticipée ne saurait constituer un motif juridique de révision au sens de l’art. 17 LPGA. D’une part, il est évident que l’état de santé de la personne assurée ne subit aucune modification du seul fait du départ en retraite anticipée. D’autre part, on ne saurait parler d’un véritable changement de statut juridique, la jurisprudence rappelée plus haut, sous consid. 5b, visant avant tout le passage d’une activité ménagère à une activité professionnelle et vice versa . Au contraire, le Tribunal fédéral a souligné dans sa jurisprudence que le motif de révision consistant dans un changement de méthode d’évaluation de l’invalidité devait être étayé par une modification (effective ou hypothétique) des faits déterminants (TF 9C_458/2014 du 26 août 2014 consid. 1; voir également Ulrich Meyer/Marco Reichmuth , Rechtsprechung des Bundesgerichts zum IVG, 4 e éd., 2022, n. 27 ad art. 30 LAI). Or, en l’occurrence, la fin de la carrière professionnelle de B.________ est la conséquence du fait qu’il avait atteint l’âge permettant de prendre une retraite anticipée. Cela étant, la situation objective de l’assuré n’avait connu, en date du 1 er mai 2024, aucun changement particulier justifiant de procéder à une révision du droit à la rente. b) De même, le fait que le bénéficiaire d’une rente de l’assurance-invalidité touche des prestations d’assurance au titre de la retraite anticipée ne saurait constituer un motif juridique de révision au sens de l’art. 17 LPGA. Certes B.________ est éligible sur le principe, parce qu’il en remplit les conditions réglementaires, à une rente transitoire ordinaire versée par la Caisse A.________. Il n’en demeure pas moins qu’il peut, en raison de son invalidité, prétendre à une rente d’invalidité de l’assurance-invalidité ainsi qu’à des prestations d’invalidité de l’institution de prévoyance auprès de laquelle il était assuré au moment de la survenance de l’incapacité de travail à l’origine de son invalidité. Or, ainsi que le précise l’art.</w:t>
      </w:r>
    </w:p>
    <w:p>
      <w:r>
        <w:rPr>
          <w:b/>
        </w:rPr>
        <w:t>E. 11</w:t>
      </w:r>
    </w:p>
    <w:p>
      <w:r>
        <w:t>du règlement du Fonds G.________ (complémentaire au règlement principal de la Caisse A.________), les prestations allouées par ledit règlement sont subsidiaires aux autres prestations légales et conventionnelles, soit notamment les prestations de l’assurance-invalidité et de la prévoyance professionnelle. En ce sens, le versement d’une rente transitoire par la Caisse A.________ ne diffère guère d’une prestation qui proviendrait d’un régime privé d’assurance et on ne saurait y voir une modification des circonstances économiques au sens de l’art. 17 LPGA. 9. Cela étant précisé, il convient d’examiner le droit à la rente de B.________ à la lumière de l’évolution objective de sa capacité de travail. a) En l’occurrence, il n’est pas contesté que B.________ a été victime le 23 janvier 2023 d’un accident à l’origine d’une fracture comminutive intra-articulaire du plateau tibial avec lésion de grade III du ligament latéral interne et déchirure quasi-complète du ménisque latéral, laquelle a été opérée le 27 janvier 2023. Malgré une évolution initialement favorable, B.________ a gardé des douleurs et une sensation d’instabilité à la marche qui ont empêché la reprise du travail. Il a séjourné à la Clinique D.________ du 3 octobre au 7 novembre 2023. A l’issue de ce séjour, il a fait l’objet d’un suivi personnalisé de la part de la CNA et a pu reprendre progressivement une activité adaptée auprès de son employeur à raison de 20 % du 1 er au</w:t>
      </w:r>
    </w:p>
    <w:p>
      <w:r>
        <w:rPr>
          <w:b/>
        </w:rPr>
        <w:t>E. 14</w:t>
      </w:r>
    </w:p>
    <w:p>
      <w:r>
        <w:t>mars 2024, 50 % du 15 au 31 mars 2024 et 100 % à compter du 1 er avril 2024. 10. Dans la mesure où il a été constaté que B.________ était en mesure de reprendre, moyennant certaines adaptations, une activité auprès de son employeur habituel, il n’apparaît pas nécessaire en l’espèce de procéder à une comparaison des revenus au sens de l’art. 16 LPGA. Dans un tel cas de figure en effet, le taux d’invalidité se confond avec celui de l’incapacité de travail (cf. TF 9C_888/2011 du 13 juin 2012 consid. 4.4 ; 9C_137/2010 du 19 avril 2010). Aussi l’assuré peut-il prétendre à une rente entière d’invalidité du 1 er janvier au 30 juin 2024, soit trois mois après l’amélioration déterminante de son état de santé (art. 88 a al. 1 RAI). 11. a) En définitive, le recours, bien fondé, doit être partiellement admis et la décision attaquée réformée en ce sens que B.________ a droit à une rente entière d’invalidité du 1 er janvier au 30 juin 2024. b) La procédure de recours en matière de contestations portant sur l’octroi ou le refus de prestations de l’assurance-invalidité est soumise à des frais de justice (art. 69 al. 1 bis LAI). Il convient de les fixer à 600 fr. et de les mettre à la charge de l’office intimé, vu l’issue du litige. c) La recourante est une institution chargée de tâches de droit public et ne peut donc pas prétendre à l’allocation de dépens (ATF 126 V 143 consid. 4a). L’assuré voit pour sa part ses conclusions rejetées, de sorte qu’il n’a pas davantage droit à l’octroi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