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83 vom 1. Januar 2021</w:t>
      </w:r>
    </w:p>
    <w:p>
      <w:r>
        <w:t>VD Tribunal cantonal, 2021-01-01, FR</w:t>
      </w:r>
    </w:p>
    <w:p>
      <w:r>
        <w:rPr>
          <w:b/>
        </w:rPr>
        <w:t xml:space="preserve">Quelle: </w:t>
      </w:r>
      <w:r>
        <w:t>https://mcp.opencaselaw.ch/entscheid/vd_findinfo_Arr_t___2024___83</w:t>
      </w:r>
    </w:p>
    <w:p>
      <w:r>
        <w:t>FR: VD_FINDINFO Arrêt / 2024 / 83 du 1 janvier 2021</w:t>
      </w:r>
    </w:p>
    <w:p>
      <w:r>
        <w:t>IT: VD_FINDINFO Arrêt / 2024 / 83 del 1 gennaio 2021</w:t>
      </w:r>
    </w:p>
    <w:p>
      <w:pPr>
        <w:pStyle w:val="Heading2"/>
      </w:pPr>
      <w:r>
        <w:t>Regeste</w:t>
      </w:r>
    </w:p>
    <w:p>
      <w:r>
        <w:t>RECOUVREMENT, PRIME D'ASSURANCE-MALADIE | 61 LAMal, 64a LAMal</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(38 al. 4 let. a LPGA) – auprès du tribunal compétent (art. 93 let. a LPA-VD [loi cantonale vaudoise du 28 octobre 2008 sur la procédure administrative ; BLV 173.36] et 58 LPGA)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 relative aux primes d’assurance-maladie impayées pour les mois de janvier à mars 2022.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des frais d’hospitalisation du mois de février 2020 non pris en charge par l’intimée.</w:t>
      </w:r>
    </w:p>
    <w:p>
      <w:r>
        <w:rPr>
          <w:b/>
        </w:rPr>
        <w:t>E. 3</w:t>
      </w:r>
    </w:p>
    <w:p>
      <w:r>
        <w:t>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(dans sa teneur en vigueur jusqu’au 31 décembre 2023)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w:t>
      </w:r>
    </w:p>
    <w:p>
      <w:r>
        <w:rPr>
          <w:b/>
        </w:rPr>
        <w:t>E. 3.2</w:t>
      </w:r>
    </w:p>
    <w:p>
      <w:r>
        <w:t>; TFA K 21/04 du 5 juillet 2004 consid. 3). d) Les créances de cotisations échues sont soumises à la perception d’intérêts moratoires (art. 26 al. 1 LPGA), le taux de l’intérêt moratoire étant de 5 % (art.</w:t>
      </w:r>
    </w:p>
    <w:p>
      <w:r>
        <w:rPr>
          <w:b/>
        </w:rPr>
        <w:t>E. 7</w:t>
      </w:r>
    </w:p>
    <w:p>
      <w:r>
        <w:t>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 er septembre 2006 consid. 5) et ne peuvent donc pas faire l’objet de la décision de mainlevée. 4. a) En l’espèce, l’intimée réclame au recourant un montant de 1’372 fr. 35 pour les primes de janvier à mars 2022 (457 fr. 45 x 3). Le recourant ne conteste pas être débiteur de cette somme et ne pas l’avoir acquittée dans les délais. Faute de paiement, les primes sont donc dues. Le recourant considère, en revanche, que la créance de la X.________ devrait être compensée avec les frais d’hospitalisation encourus en février 2020 dont l’intimée n’a pas assumé la couverture – à savoir un montant de 6'091 fr. 25 dont la Caisse a expressément refusé la prise en charge par décision sur opposition du 22 août 2022, entrée en force après avoir fait l’objet d’un recours déclaré irrecevable par la juridiction de céans (AM 15/22 – 3/2023 précité). Outre que les conclusions qu’il en tire ne sont pas recevables (cf. consid. 2b supra), l’argumentation ainsi formulée par le recourant ne lui est d’aucun secours sur le fond. Comme cela a déjà été exposé lors de procédures antérieures (AM 1/21 – 41/2021 précité et AM 20/21 – 5/2022 précité), la Cour de céans rappelle encore une fois que les personnes assurées ne bénéficient d’aucun droit à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11 ; Gebhard Eugster, Die obligatorische Krankenpflegeversicherung, in Schweizerisches Bundesverwaltungs-recht [SBVR], Soziale Sicherheit, 3 e éd., Bâle 2016, n° 656 p. 607). Du reste, en vertu de l’art. 105c OAMal en vigueur depuis le 1 er janvier 2012, l'assureur n’est pas non plus habilité à compenser les prestations d'assurance par des primes ou des participations aux coûts. Il suit de là que la compensation invoquée par le recourant est clairement exclue par le système légal. Il en va de même selon l’art.</w:t>
      </w:r>
    </w:p>
    <w:p>
      <w:r>
        <w:rPr>
          <w:b/>
        </w:rPr>
        <w:t>E. 11</w:t>
      </w:r>
    </w:p>
    <w:p>
      <w:r>
        <w:t>du règlement d’assurance selon la LAMal de la X.________, disposition dont le texte prévoit que l’assureur ne peut pas compenser des prestations d’assurance avec des primes ou des participations aux coûts impayées et que la personne assurée ne dispose d’aucun droit de compensation à l’égard de la X.________ (cf. décision sur opposition du 24 mars 2023 p. 4). Il suit de là que le grief soulevé par B.________ ne peut qu’être écarté. b) Il apparaît par ailleurs que la procédure de recouvrement a, en l’espèce, été appliquée conformément aux dispositions de l’art. 64a LAMal. Ainsi, le décompte de primes du 11 décembre 2021 a fait l’objet d’un rappel le 22 janvier 2022, puis d’une mise en demeure le 19 février 2022. Le commandement de payer dans la poursuite n° [...] a donc été précédé d’une facture, d’un rappel et d’une sommation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de la X.________, les dépenses de la X.________ pour frais de sommation et de poursuites sont à la charge de la personne assurée. En l’occurrence, l’intimée réclame à l’assuré des frais administratifs d’un montant total de 200 francs. Il est à cet égard indéniable, et au demeurant non contesté par les parties, que le retard de paiement a contraint l’intimée à déployer une activité de rappel et de recouvrement. Cela étant, les frais réclamés, qui se rapportent à un montant en souffrance de 1'372 fr. 35, n’apparaissent pas excessifs et ne procurent à la Caisse aucun enrichissement, de sorte qu’il n’y a pas lieu de les réduire. d) L’intimée, aux termes de la décision entreprise, a par ailleurs réclamé des intérêts moratoires à un taux de 5 % dès le 1 er janvier 2023. Ce faisant, elle a respecté la jurisprudence selon laquelle l'intérêt moratoire doit être fixé, s'agissant d'un dommage périodique et pour des raisons pratiques, selon une échéance moyenne (ATF 131 III 12 consid. 9.5 ; TF 4A_463/2008 du 20 avril 2010 consid. 4.9.2 non publié in ATF 136 III 310). e) Quant aux frais de poursuite, ils suivent le sort de la poursuite (cf. consid. 3e supra) et ne font donc à juste titre pas l'objet de la décision sur opposition litigieuse. 5. a) Vu ce qui précède, le recours doit être rejeté et la décision sur opposition rendue le 24 mars 2023 confirmée, en ce sens que l’opposition au commandement de payer dans la poursuite n° [...] de l'Office des poursuites du district de [...] est levée à raison d'un montant de 1'372 fr. 35 correspondant aux primes impayées pour les mois de janvier à mars 2022, intérêt moratoire de 5 % l’an dès le 1 er janvier 2023 en sus, ainsi que de 200 fr. de frais administratifs. L’opposition au commandement de payer dans la poursuite n° [...] de l’Office des poursuites de [...] est définitivement levée à concurrence de ces montants.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La partie recourante n’a pas droit à des dépens, dès lors qu’elle n’obtient pas gain de cause et qu’elle a procédé sans mandataire qualifié (art. 61 let. g LPGA ; ATF 127 V 205 consid. 4b). La partie intimée n’y a pas davantage droit, dès lors qu’elle a agi en qualité d’institution chargée de tâches de droit public (ATF 126 V 143 consid. 4 ; voir également ATF 128 V 323). Par ces motifs, la juge unique prononce : I. Le recours déposé le 1 er mai 2023 par B.________ est rejeté, dans la mesure où il est recevable. II. La décision sur opposition rendue le 24 mars 2023 par la X.________ [...] est confirmée, en ce sens que l’opposition au commandement de payer dans la poursuite n° [...] de l'Office des poursuites du district de [...] est levée à raison d'un montant de 1'372 fr. 35 correspondant aux primes impayées pour les mois de janvier à mars 2022, intérêt moratoire de 5 % l’an dès le 1 er janvier 2023 en sus, et de 200 fr. de frais administratifs. III. L’opposition formée au commandement de payer n° [...] est définitivement levée à concurrence des montants mentionnés au chiffre II ci-dessus. IV. Les frais de justice sont fixés à 200 fr. (deux cents francs) et mis à la charge du recourant. V. Il n’est pas alloué de dépens. La juge unique :               La greffière : Du L'arrêt qui précède est notifié à : ‑ B.________, ‑ X.________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