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2024 / 770 vom 6. September 2024</w:t>
      </w:r>
    </w:p>
    <w:p>
      <w:r>
        <w:t>VD Tribunal cantonal, 2024-09-06, FR</w:t>
      </w:r>
    </w:p>
    <w:p>
      <w:r>
        <w:rPr>
          <w:b/>
        </w:rPr>
        <w:t xml:space="preserve">Quelle: </w:t>
      </w:r>
      <w:r>
        <w:t>https://mcp.opencaselaw.ch/entscheid/vd_findinfo_Arr_t___2024___770</w:t>
      </w:r>
    </w:p>
    <w:p>
      <w:r>
        <w:t>FR: VD_FINDINFO Arrêt / 2024 / 770 du 6 septembre 2024</w:t>
      </w:r>
    </w:p>
    <w:p>
      <w:r>
        <w:t>IT: VD_FINDINFO Arrêt / 2024 / 770 del 6 settembre 2024</w:t>
      </w:r>
    </w:p>
    <w:p>
      <w:pPr>
        <w:pStyle w:val="Heading2"/>
      </w:pPr>
      <w:r>
        <w:t>Regeste</w:t>
      </w:r>
    </w:p>
    <w:p>
      <w:r>
        <w:t>ACCIDENT, NOTION, REJET DE LA DEMANDE | 6 LAA, 4 LPGA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En définitive, le recours doit être rejeté et la décision sur opposition attaquée confirmée. L’issue du recours rend sans objet les requêtes de l’intimée tendant à l’audition de la recourante et à celle du résident impliqué. b) Il n’y a pas lieu de percevoir de frais judiciaires (art. 61 let. f bis LPGA), ni d’allouer de dépens à la recourante, qui n’obtient pas gain de cause et a procédé sans mandataire qualifié (art. 61 let. g LPGA ; ATF 127 V 205 consid. 4b). c) Quant à l’intimée, elle n’a pas non plus droit à des dépens, dès lors qu’elle a agi en qualité d’institution chargée de tâches de droit public (ATF 126 V 143 consid. 4 ; voir également ATF 128 V 323).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