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717 vom 20. August 2024</w:t>
      </w:r>
    </w:p>
    <w:p>
      <w:r>
        <w:t>VD Tribunal cantonal, 2024-08-20, FR</w:t>
      </w:r>
    </w:p>
    <w:p>
      <w:r>
        <w:rPr>
          <w:b/>
        </w:rPr>
        <w:t xml:space="preserve">Quelle: </w:t>
      </w:r>
      <w:r>
        <w:t>https://mcp.opencaselaw.ch/entscheid/vd_findinfo_Arr_t___2024___717</w:t>
      </w:r>
    </w:p>
    <w:p>
      <w:r>
        <w:t>FR: VD_FINDINFO Arrêt / 2024 / 717 du 20 août 2024</w:t>
      </w:r>
    </w:p>
    <w:p>
      <w:r>
        <w:t>IT: VD_FINDINFO Arrêt / 2024 / 717 del 20 agosto 2024</w:t>
      </w:r>
    </w:p>
    <w:p>
      <w:pPr>
        <w:pStyle w:val="Heading2"/>
      </w:pPr>
      <w:r>
        <w:t>Regeste</w:t>
      </w:r>
    </w:p>
    <w:p>
      <w:r>
        <w:t>CURATELLE DE REPRÉSENTATION AYANT POUR OBJET LA GESTION DU PATRIMOINE, CURATELLE DE REPRÉSENTATION{ART. 394 CC}, LIMITATION{EN GÉNÉRAL}, EXERCICE DES DROITS CIVILS, EXPERTISE, REJET DE LA DEMANDE | 394 al. 1 CC, 394 al. 2 CC, 395 al. 1 CC, 450 CC</w:t>
      </w:r>
    </w:p>
    <w:p>
      <w:pPr>
        <w:pStyle w:val="Heading2"/>
      </w:pPr>
      <w:r>
        <w:t>Erwägungen</w:t>
      </w:r>
    </w:p>
    <w:p>
      <w:r>
        <w:rPr>
          <w:b/>
        </w:rPr>
        <w:t>E. 1.1</w:t>
      </w:r>
    </w:p>
    <w:p>
      <w:r>
        <w:t>Le recours est dirigé contre une décision de l’autorité de protection de l’adulte, mettant fin à l’enquête en institution d’une mesure de protection de l’adulte, instaurant une curatelle de représentation et de gestion en faveur de la personne concernée, et lui retirant ses droits civils pour tout acte l’engageant personnellement, notamment la conclusion de contrats.</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le recourant conteste avoir besoin d’une mesure de protection, en particulier d’une curatelle de représentation et de gestion, et il met en cause les conclusions de l’expertise. Le recours du 27 mai 2024, motivé et déposé en temps utile, est dès lors recevable. En revanche, l’écriture du 11 juin 2024, également intitulée « recours », a été déposée après l’échéance du délai de recours, de sorte qu’elle est irrecevable. Sa teneur n’est quoi qu’il en soit pas déterminante pour l’issue de la présente cause. Le recours étant manifestement infondé, au vu des considérations qui seront développées ci-après, il a été renoncé à consulter l’autorité de protection. La curatrice n’a pas non plus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ne paraisse disproportionnée (art. 447 al. 1 CC).</w:t>
      </w:r>
    </w:p>
    <w:p>
      <w:r>
        <w:rPr>
          <w:b/>
        </w:rPr>
        <w:t>E. 2.2.2</w:t>
      </w:r>
    </w:p>
    <w:p>
      <w:r>
        <w:t>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(art. 446 al. 2 CC), en particulier pour déterminer l’existence d’un trouble psychique ou d’une déficience mentale (Meier, Droit de la protection de l’adulte, Droit de la protection de l’adulte, 2 e éd., Genève/Zurich 2022, n. 206, p. 109 et n. 727, p. 401). Le Tribunal fédéral a rappelé qu’une expertise médicale s'avère indispensable pour ordonner l'instauration d'une mesure limitant l'exercice des droits civils d'une personne en raison d'un trouble psychique ou d'une déficience mentale, à moins que l'un des membres de l'autorité de protection ne dispose des compétences médicales nécessaires (ATF 140 III 97 consid. 4 ; TF 5A_417/2018 du 17 octobre 2018 consid. 4.3.1 ; TF 5A_617/2014 du 1 er décembre 2014 consid. 4.3 ; Meier, op. cit. , n. 892, pp 469-470).</w:t>
      </w:r>
    </w:p>
    <w:p>
      <w:r>
        <w:rPr>
          <w:b/>
        </w:rPr>
        <w:t>E. 2.3</w:t>
      </w:r>
    </w:p>
    <w:p>
      <w:r>
        <w:t>En l’occurrence, le recourant a été auditionné le 15 décembre 2022 et le 18 janvier 2024 par le juge de paix. Lors de cette dernière audience, A.W.________ a renoncé à être entendu par la justice de paix in corpore avant la prise de décision. Son droit d’être entendu a dès lors été respecté. En outre, pour rendre la décision litigieuse limitant l’exercice des droits civils du recourant, en particulier pour tous les actes liés aux engagements personnels, notamment contractuels, la justice de paix s’est fondée sur le rapport d’expertise psychiatrique établi le 10 juillet 2023 par la Dre [...], psychiatre FMH et spécialiste en psychiatrie de l’âge avancé. Les exigences jurisprudentielles susmentionnées ont ainsi été respectées. La décision entreprise ayant été rendue conformément aux règles de procédure applicables, la cause peut être examinée sur le fond.</w:t>
      </w:r>
    </w:p>
    <w:p>
      <w:r>
        <w:rPr>
          <w:b/>
        </w:rPr>
        <w:t>E. 3.1</w:t>
      </w:r>
    </w:p>
    <w:p>
      <w:r>
        <w:t>A titre de mesure d’instruction, le recourant requiert implicitement la mise en œuvre d’une nouvelle expertise. Il conteste en effet les conclusions de l’expertise psychiatrique du 10 juillet 2023, faisant valoir qu’elle se fonde sur une brève période de sa vie, particulièrement difficile sur le plan affectif.</w:t>
      </w:r>
    </w:p>
    <w:p>
      <w:r>
        <w:rPr>
          <w:b/>
        </w:rPr>
        <w:t>E. 3.2</w:t>
      </w:r>
    </w:p>
    <w:p>
      <w:r>
        <w:t>L’autorité cantonale peut refuser une mesure probatoire en procédant à une appréciation anticipée des preuves (cf. ATF 130 III 734 consid. 2.2.3 ; TF 5A_266/2019 du 5 août 2019 consid. 3.3.2),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5A_771/2023 du 20 mars 2024 consid. 3.2.2.1 ; 5A_388/2018 du 3 avril 2019 consid. 4.1).</w:t>
      </w:r>
    </w:p>
    <w:p>
      <w:r>
        <w:rPr>
          <w:b/>
        </w:rPr>
        <w:t>E. 3.3</w:t>
      </w:r>
    </w:p>
    <w:p>
      <w:r>
        <w:t>Il ressort de l’expertise réalisée le 10 juillet 2023 que l’experte s’est entretenue avec la personne concernée les 29 mars, 3 avril et 24 avril 2023, puis les 14 et 27 juin 2023. Dans ces circonstances, on ne saurait considérer que l’expertise se fonderait sur une période trop brève qui diminuerait sa force probante. On notera par ailleurs que l’expertise a été réalisée plus de six mois après la survenance de l’épisode de violence conjugale, de sorte que la situation du recourant avait pu se stabiliser, en partie à tout le moins, au moment des entretiens avec l’experte ; le recourant ne démontre d’ailleurs pas en quoi les conclusions de l’expertise ne seraient pas représentatives de sa situation et de son état de santé actuels. S’agissant du diagnostic posé, l’expertise psychiatrique retient que le recourant présente des troubles neurocognitifs majeurs, d’origine peu claire, non formellement investigués et probablement d’origine mixte. Une piste vasculaire en lien avec les lourds antécédents métaboliques peut être suspectée, de même qu’une origine neurodégénérative de type maladie d’Alzheimer ; il n’est pas retrouvé à l’issue des cinq entretiens menés, de maladie mentale telle que la dépression, les troubles bipolaires de l’humeur ou un trouble psychotique de type schizoaffectif ou schizophrénie. L’experte indique, en page 15 de son rapport, qu’elle partage l’avis du médecin traitant du recourant qu’une IRM cérébrale pourrait être nécessaire pour mieux investiguer ces troubles neurocognitifs, notamment une éventuelle atteinte vasculaire et qu’un bilan complet au Centre de la mémoire de [...] permettrait de mieux appréhender l’importance de l’atteinte sur le plan cognitif avec notamment la question des investigations neuropsychologiques. L’expertise énumère ensuite les atteintes multiples et diffuses qui entraînent des répercussions sur la vie quotidienne. Au demeurant, dans leur rapport du 6 octobre 2023, les infirmières indépendantes qui suivent le recourant évoquent également un réseau avec les soignants et un bilan neurocognitif au Centre de la mémoire. Ainsi, il n'y a aucune contradiction entre les conclusions de l’expertise, qui énumère les difficultés cognitives identifiées, et le fait qu’une IRM cérébrale et/ou un bilan au Centre de la mémoire soit préconisé pour mieux comprendre ces atteintes. Certes, ces investigations supplémentaires permettraient de mieux définir les causes des troubles cognitifs du recourant et leur ampleur, et pourraient éventuellement conduire à une meilleure acceptation par le recourant de sa situation. Toutefois, en l’état, l’expertise met déjà en évidence des troubles cognitifs majeurs, sur la base de l’examen clinique et d’examens psychologiques (Rorschach, Thematic Apperception Test [TAT] et Wechsler Adulte Intelligence Scale Revised [WAIS-R]), de sorte que l’on doit considérer que cette expertise est suffisamment complète et qu’elle permet de statuer sur le besoin de protection du recourant, sans qu’un bilan complémentaire soit nécessaire. Pour le surplus, le recourant n’émet pas d’autre critique concernant le contenu de l’expertise du 10 juillet 2023 ou sa méthodologie, en particulier il ne fait pas valoir que le rapport d’expertise serait lacunaire, incohérent ou incompréhensible. A l’instar des premiers juges, on doit donc constater que cette expertise est parfaitement claire et détaillée, de sorte qu’une pleine valeur probante doit lui être reconnue.</w:t>
      </w:r>
    </w:p>
    <w:p>
      <w:r>
        <w:rPr>
          <w:b/>
        </w:rPr>
        <w:t>E. 4.1</w:t>
      </w:r>
    </w:p>
    <w:p>
      <w:r>
        <w:t>Sur le fond, le recourant conteste avoir besoin d’une mesure de protection, particulièrement d’une curatelle de représentation et de gestion. Il fait valoir qu’il est bien conscient de certaines faiblesses passagères, mais pense être encore capable de raisonnement et de répondant, qu’il peut tenir une conversation suivie et se faire parfaitement comprendre. Il soutient que ses difficultés se situent davantage sur le plan économique que psychologique.</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op. cit. ,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op. cit. ,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 n. 14 ad art. 390 CC, p. 2419).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s’agit d’affaires essentielles pour la personne concernée, de sorte que les difficultés constatées ont pour elle des conséquences importantes. Bien que la loi ne le précise pas, il peut s’agit d’intérêts patrimoniaux et/ou personnels, respectivement de soucis de représentation juridique (TF 5A_551/2021 du 7 décembre 2021 consid. 4.1.1 ; Meier, Droit de la protection de l’adulte, op. cit. , n. 729, p. 403 ; Guide pratique COPMA 2012, op. cit. , n. 5.10, p. 138).</w:t>
      </w:r>
    </w:p>
    <w:p>
      <w:r>
        <w:rPr>
          <w:b/>
        </w:rPr>
        <w:t>E. 4.2.2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5A_417/2018 du 17 octobre 2019 consid. 4.2.1, in SJ 2019 I 127 ; TF 5A_844/2017 du 15 mai 2018 consid. 3.1 et les références citées). L’aide proposée peut s’avérer contre-productive ou inappropriée, notamment lorsque le prétendu soutien n’est pas dans l’intérêt de la personne concernée (Biderbost, BSK ZGB I, op. cit. ,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 n. 2 ad art. 389 CC, p. 2408).</w:t>
      </w:r>
    </w:p>
    <w:p>
      <w:r>
        <w:rPr>
          <w:b/>
        </w:rPr>
        <w:t>E. 4.3.1</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 nn. 15 à 26 ad art. 394 CC, pp. 439 ss, et n. 11 ad art. 395 CC, p. 452 ; Meier, Droit de la protection de l’adulte, op. cit. ,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op. cit. , nn. 5.90 ss, p. 173 ; Biderbost, BSK ZGB I, op. cit. , n. 31 ad art. 394 CC, p. 2460 ; Meier, CommFam, op. cit. , n. 12 ad art. 395 CC, p. 453). Ainsi, par exemple, l’exercice des droits civils peut être retiré par rapport à l’utilisation d’une carte de crédit ou par rapport à la conclusion de contrats par internet (Biderbost, BSK ZGB I, ibidem ). S’agissant des actes touchés par la restriction des droits civils, la mesure instituée peut être assimilée à une curatelle de portée générale (Meier, CommFam, op. cit. , n. 33 ad art. 394 CC, p. 444).</w:t>
      </w:r>
    </w:p>
    <w:p>
      <w:r>
        <w:rPr>
          <w:b/>
        </w:rPr>
        <w:t>E. 4.3.2</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 nn. 813 et 833, pp. 438 et 447 ; Meier, CommFam, op. cit. ,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précité consid 4.2.2 et les références citées ; TF 5A_192/2018 précité consid. 3.1 et les références citées).</w:t>
      </w:r>
    </w:p>
    <w:p>
      <w:r>
        <w:rPr>
          <w:b/>
        </w:rPr>
        <w:t>E. 4.4</w:t>
      </w:r>
    </w:p>
    <w:p>
      <w:r>
        <w:t>En l’espèce, le recourant est atteint de troubles neurocognitifs majeurs, d’origine peu claire, non formellement investigués et probablement d’origine mixte. Comme l’a relevé l’experte, ces troubles neurocognitifs majeurs consistent en des atteintes de la mémoire, du calcul, du jugement, des fonctions exécutives et du langage. Ils entraînent des répercussions sur la faculté du recourant d’agir raisonnablement, sur sa capacité à assurer lui-même la sauvegarde de ses intérêts, tant sur le plan financier et administratif que personnel, notamment en matière de santé. Le recourant semble totalement perdu face aux démarches qu’il doit effectuer et se montre d’emblée trop confiant envers autrui. Il n’a par ailleurs pas conscience de ses troubles, qu’il nie. A cela s’ajoute qu’il tient des propos contradictoires dans la mesure où il conteste les conclusions de l’expertise et qu’il estime ne pas avoir de problèmes cognitifs, mais concède en même temps qu’il ne peut pas gérer seul ses affaires administratives. Il a en outre pris, par le passé, des engagements inconsidérés. On ne peut ainsi que constater que le recourant souffre de troubles qui engendrent un état de faiblesse ; cet état de dépendance se répercute sur la capacité du recourant à comprendre les situations auxquelles il est confronté et à prendre des décisions, notamment en matière contractuelle et en matière de gestion de l’immeuble dont il est copropriétaire avec son épouse, mais également pour ce qui concerne sa santé. Enfin, le recourant se trouve dans une situation particulièrement complexe. Il est confronté à des difficultés financières et il est séparé de son épouse contre laquelle une enquête pénale pour des violences conjugales est ouverte. Le besoin de protection du recourant est ainsi manifeste. Au vu de la situation, la représentation par le conjoint apparaît d’emblée exclue, ce d’autant qu’il résulte du dossier que l’épouse semble elle-même rencontrer des difficultés à assurer les tâches de gestion et ne parvient visiblement pas à comprendre les enjeux liés à la situation de son mari, notamment son état de santé. En tenant également compte des relations difficiles entre le recourant et son fils et du fait que ce dernier s’était retrouvé dépassé par la complexité de la situation, il y a lieu de constater qu’un soutien procuré par les proches serait insuffisant, tout comme la poursuite d’un simple accompagnement d’un service social, l’ampleur des atteintes dont souffre le recourant nécessitant qu’un représentant puisse agir directement à sa place. Une mesure de curatelle se justifie ainsi pour fournir au recourant assistance et protection, en particulier s’agissant de son bien immobilier et de transactions qui ne sont pas de minime importance. Tant la cause que la condition d’une curatelle sont donc réalisées. Enfin, sous l’angle de la proportionnalité, une mesure de curatelle avec limitation des droits civils pour tout acte engageant personnellement le recourant est indispensable pour assurer la sauvegarde de ses intérêts. En effet, les limitations dont souffre le recourant, énumérées par l’expertise (cf. p. 20), ont trait non seulement aux affaires financières, administratives et légales, mais également à sa santé, dès lors qu’il n’est pas en mesure de citer ses antécédents et oublie les traitements qu’il prend. A cet égard, l’expertise atteste qu’il est incapable de prendre des décisions adéquates dans la gestion de ses affaires ou le choix de soins médicaux le concernant. Par ailleurs, le recourant étant anosognosique de ses troubles et difficultés et faisant preuve d’un excès de confiance envers les tiers, on ne peut exclure qu’il prenne de nouveaux engagements inconsidérés, comme par le passé, au risque de péjorer encore davantage sa situation personnelle et financière déjà particulièrement précaire, ce qu’il convient absolument d’éviter. Dans ces conditions, une curatelle de représentation et de gestion, assortie d’une limitation de l’exercice des droits civils pour tout engagement personnel notamment en matière contractuelle, se justifie pleinement au vu des principes de proportionnalité et de subsidiarité, étant rappelé que la curatrice doit veiller à l’information et à l’autonomisation de la personne concernée dans la mesure du possible. Au demeurant, on précisera que la curatelle fera quoi qu’il en soit l’objet d’un réexamen après trois ans (ch. VIII de la décision attaquée), lors duquel la possibilité de lever ou de modifier la mesure sera évaluée, en fonction de la situation. Pour le surplus, le recourant n’émet aucune critique au stade du recours à l’encontre de la curatrice professionnelle désignée, laquelle paraît satisfaire aux exigences de l’art. 400 CC.</w:t>
      </w:r>
    </w:p>
    <w:p>
      <w:r>
        <w:rPr>
          <w:b/>
        </w:rPr>
        <w:t>E. 5</w:t>
      </w:r>
    </w:p>
    <w:p>
      <w:r>
        <w:t>En conclusion, le recours, manifestement infondé, doit être rejeté et la décision entreprise confirmée. L’arrêt peut être rendu sans frais judiciaires de deuxième instance (art. 74a al. 4 TFJC [tarif du 28 septembre 2010 des frais judiciaires civils ; BLV 270.11.5). Il n’y a pas lieu à l’allocation de dépens, les autres parties à la procédure n’ayant pas été invitées à procéder.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 ‑ M. A.W.________, ‑ Mme [...], curatrice, Service des curatelles et tutelles professionnelles,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