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693 vom 13. August 2024</w:t>
      </w:r>
    </w:p>
    <w:p>
      <w:r>
        <w:t>VD Tribunal cantonal, 2024-08-13, FR</w:t>
      </w:r>
    </w:p>
    <w:p>
      <w:r>
        <w:rPr>
          <w:b/>
        </w:rPr>
        <w:t xml:space="preserve">Quelle: </w:t>
      </w:r>
      <w:r>
        <w:t>https://mcp.opencaselaw.ch/entscheid/vd_findinfo_Arr_t___2024___693</w:t>
      </w:r>
    </w:p>
    <w:p>
      <w:r>
        <w:t>FR: VD_FINDINFO Arrêt / 2024 / 693 du 13 août 2024</w:t>
      </w:r>
    </w:p>
    <w:p>
      <w:r>
        <w:t>IT: VD_FINDINFO Arrêt / 2024 / 693 del 13 agosto 2024</w:t>
      </w:r>
    </w:p>
    <w:p>
      <w:pPr>
        <w:pStyle w:val="Heading2"/>
      </w:pPr>
      <w:r>
        <w:t>Regeste</w:t>
      </w:r>
    </w:p>
    <w:p>
      <w:r>
        <w:t>PAR MÉTIER, CONFLIT D'INTÉRÊTS, CURATEUR, CURATELLE DE REPRÉSENTATION AYANT POUR OBJET LA GESTION DU PATRIMOINE, CURATELLE DE REPRÉSENTATION{ART. 394 CC}, INTÉRÊT FINANCIER, AVOCAT, MESURE PROVISIONNELLE | 394 al. 2 CC, 395 al. 3 CC</w:t>
      </w:r>
    </w:p>
    <w:p>
      <w:pPr>
        <w:pStyle w:val="Heading2"/>
      </w:pPr>
      <w:r>
        <w:t>Erwägungen</w:t>
      </w:r>
    </w:p>
    <w:p>
      <w:r>
        <w:rPr>
          <w:b/>
        </w:rPr>
        <w:t>E. 1.1</w:t>
      </w:r>
    </w:p>
    <w:p>
      <w:r>
        <w:t>Le recours est dirigé contre une décision de la juge de paix en tant, d'une part, qu'elle maintient, respectivement prononce une curatelle provisoire de représentation et de gestion avec privation de l'exercice des droits civils pour tout acte engageant personnellement la personne concernée et de la faculté d'accéder à certains biens, au sens des art. 394 al. 2 et 395 al. 3 CC et, d'autre part, qu'elle confirme la curatrice provisoire dans ses fonctions, refusant corrélativement de désigner un autre curateur en remplacement, singulièrement le conseil de la personne concernée.</w:t>
      </w:r>
    </w:p>
    <w:p>
      <w:r>
        <w:rPr>
          <w:b/>
        </w:rPr>
        <w:t>E. 1.2.1</w:t>
      </w:r>
    </w:p>
    <w:p>
      <w:r>
        <w:t>Le recours de l'art. 450 CC est ouvert à la Chambre des curatelles (art. 8 LVPAE [Loi du 29 mai 2012 d'application du droit fédéral de la protection de l'adulte et de l'enfant, BLV 211.255] et 76 al. 2 LOJV [Loi d'organisation judiciaire du 12 décembre 1979 ; BLV 173.011]) contre toute décision relative aux mesures provisionnelles (Droese, Basler Kommentar, Zivilgesetzbuch l, Art. 1-456 ZGB, 7 e éd., Bâle 2022 [ci-après : BSK Zivilgesetzbuch l], n. 21 ad art. 450 CC, p. 2932) dans les dix jours dès la notification de la décision (art. 445 al. 3 CC ; cf. notamment CCUR 6 mars 2023/47).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Zivilgesetzbuch l,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l, op. cit., nn. 6 ss ad art. 450d CC, p. 2957).</w:t>
      </w:r>
    </w:p>
    <w:p>
      <w:r>
        <w:rPr>
          <w:b/>
        </w:rPr>
        <w:t>E. 1.3</w:t>
      </w:r>
    </w:p>
    <w:p>
      <w:r>
        <w:t>Motivé, interjeté en temps utile et dans les formes prescrites par la personne concernée, le recours est recevable. Il en va de même des pièces produites en deuxième instance, si tant est qu'elles ne figurent pas déjà au dossier.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2.3</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op. cit.,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et les références citées ; CCUR 27 juin 2016/132 consid. 3).</w:t>
      </w:r>
    </w:p>
    <w:p>
      <w:r>
        <w:rPr>
          <w:b/>
        </w:rPr>
        <w:t>E. 2.4</w:t>
      </w:r>
    </w:p>
    <w:p>
      <w:r>
        <w:t>En l'espèce, la personne concernée, son conseil, sa curatrice et la cheffe de groupe SCTP ont été entendus par la juge de paix à l'audience du 14 mai 2024. Par ailleurs, s'il est exact que l'expertise psychiatrique est indispensable lorsque la curatelle emporte une restriction de l'exercice des droits civils, tel n'est pas le cas au stade des mesures provisionnelles, selon jurisprudence constante de la Chambre de céans (cf. consid. 2.3 supra). A cet égard on relèvera au demeurant que, dans un premier temps, une telle expertise avait été envisagée mais que le conseil de la personne concernée s'y était opposé. Depuis lors, une évaluation a été réalisée le 13 mai 2024 par la médecin déléguée cantonale afin de permettre à la juge de paix de statuer à titre provisoire. Pour le surplus, une expertise psychiatrique a été requise et le rapport devrait être déposé dans le courant du mois d’août. Au stade des mesures provisionnelles, l’évaluation du 13 mai 2024 est toutefois suffisante pour statuer. L'ordonnance entreprise est donc formellement correcte et peut être examinée sur le fond. Vu le caractère manifestement mal fondé du recours, il a été renoncé à demander à la juge de paix de se déterminer. Le SCTP s'est déterminé.</w:t>
      </w:r>
    </w:p>
    <w:p>
      <w:r>
        <w:rPr>
          <w:b/>
        </w:rPr>
        <w:t>E. 3.1</w:t>
      </w:r>
    </w:p>
    <w:p>
      <w:r>
        <w:t>et les références citées).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BSK Zivilgesetzbuch l,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1 127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5A_713/2015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BSK Zivilgesetzbuch l, op. cit., n. 31 ad art. 394 CC, p. 2460 ; Meier, CommFam, n. 12 ad art. 395 CC, p. 453). S'agissant des actes touchés par la restriction des droits civils, la mesure instituée peut être assimilée à une curatelle de portée générale (Meier, CommFam, n. 33 ad art. 394 CC, p. 444).</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w:t>
      </w:r>
    </w:p>
    <w:p>
      <w:r>
        <w:rPr>
          <w:b/>
        </w:rPr>
        <w:t>E. 3.3</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Il suffit que la cause et la condition soient réalisées à première vue (CCUR 4 mars 2021/59 consid. 3.1.4 ; JdT 2005 III 51).</w:t>
      </w:r>
    </w:p>
    <w:p>
      <w:r>
        <w:rPr>
          <w:b/>
        </w:rPr>
        <w:t>E. 3.4</w:t>
      </w:r>
    </w:p>
    <w:p>
      <w:r>
        <w:t>En l'espèce, la recourante se limite à évoquer la violation du droit et une constatation erronée des faits, en se prévalant de sa propre version de la situation. En particulier, elle conteste le constat médical du 13 mai 2024 de la Dre N.________, médecin déléguée du médecin cantonal, y opposant les conclusions du bilan cognitif établi le 18 mars 2024 par le Dr V.________. On relèvera en premier lieu que le rapport de la Dre N.________ est postérieur à celui du Dr V.________. A cela s’ajoute que, contrairement à ce qu’elle fait plaider, le rapport médical du Dr V.________ ne se positionne pas clairement sur la capacité de X.________ à gérer ses affaires administratives et financières et relève tout de même « une altération plutôt modérée des fonctions cognitives » , même s’il estime que la capacité de la personne concernée à s’opposer à la curatelle devrait être prise en considération. Le Dr V.________ ne se prononce pas sur la capacité de discernement, tout au plus il estime que le trouble de la mémoire n’a pas d’incidence sur la capacité de discernement qui reste à évaluer. Sur ce point, le rapport de la Dre N.________, qui avait déjà vu X.________ – connue pour des troubles cognitifs – un an auparavant et qui est par conséquent en mesure de comparer la situation, est plus précis. Elle expose en effet que l'intéressée « n'a pas sa capacité de discernement par rapport aux soins qui lui sont prodigués » , ne comprend pas complètement toute l'information liée au diagnostic de sa maladie et les complications ainsi que les traitements relatifs. Elle relève également que les troubles cognitifs de X.________ ne lui permettent pas d'apprécier une situation complexe, raisonner, comparer les alternatives, risques et bénéfices d'une option et que « sa capacité d'intégrer, d'analyser et de manipuler l'information de manière rationnelle est diminuée ». Pour le surplus, il est aussi un fait rapporté par l’ancien curateur (cf. courrier du 19 mars 2024 de Y.________) qu'un retrait d'argent de 50’000 fr a été fait sur le compte bancaire de la recourante et que le montant de 47'000 fr a été versé sur le compte de son conseil ([...]) sans que X.________, interrogée par la première juge sur l'action de son conseil, ne soit en mesure de fournir des renseignements. La recourante semble ainsi totalement confuse voire ignorante de la conduite de ses affaires et dépense des sommes importantes sans réaliser la contrepartie. Aussi, l'état de fait, constaté sur la base du dossier et des auditions, conduit à considérer que la recourante se trouve, en raison de ses troubles cognitifs dans le contexte de sa maladie chronique (sclérose en plaques) dans une situation de besoin de protection. L'engagement contractuel avec Me P.________ est inquiétant tant la rémunération semble élevée face aux opérations réalisées et la personne concernée ignorante des actions effectivement entreprises, de sorte qu'il n'est pas excessif de s'interroger sur ce contrat. Il apparaît ainsi que tant la cause que la condition de curatelle existent, le besoin de protection consistant en particulier à éviter d'être abusée par des tiers. Au vu de ce qui précède, force est de considérer, au stade provisionnel, que l'aggravation de la mesure avec restriction des droits civils et d'accès aux biens paraît parfaitement justifiée pour éviter que la personne concernée continue à subir les agissements de tiers et à mettre en péril ses intérêts, notamment patrimoniaux. Aucune autre mesure plus légère n'apparaît en l'état permettre de protéger adéquatement l'intéressée et sauvegarder provisoirement ses intérêts, à tout le moins sur le plan financier. 4. 4.1. S'agissant de la personne désignée en qualité de curatrice, la recourante se plaint d'abord de la constatation incomplète et inexacte des faits et d’une interprétation arbitraire de ceux-ci, dès lors que la juge de paix devait selon elle retenir que le lien de confiance avec sa curatrice ad hoc avait été rompu par les agissements de cette dernière. Elle ajoute que le changement de curateur ne générerait pas de frais importants, dans la mesure où les démarches requises par la situation de la recourante étaient certes nombreuses, notamment le fait d'organiser et de coordonner le réseau de soins ou encore d'effectuer le paiement des factures courantes, mais que l’ensemble de ces éléments était désormais sous contrôle grâce au travail accompli par son conseil. Celui-ci a du reste rappelé qu'il entendait accepter le mandat de curatelle tout en étant indemnisé selon les barèmes de rémunération des curateurs du canton de Vaud, de sorte à éviter des coûts inutiles à la recourante. 4.2. 4.2.1.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op. cit.,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précité consid. 3.2.1 ; TF 5A_228/2018 du 30 avril 2018 consid. 4.2.1 ; TF 5A_904/2014 précité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En vertu de l'art. 401 al. 2 CC, l'autorité de protection de l'adulte prend autant que possible en considération les souhaits des membres de la famille ou d'autres proches. Toutefois, l'autorité n'est pas liée par la proposition de ces personnes et les souhaits des parents ou d'autres proches ne sont pris en considération que dans la mesure du possible (Häfeli, CommFam, op. cit., n. 2 ad art. 401 CC, p. 519 ; Meier, Droit de la protection de l'adulte, op. cit., nn, 962 et 963, pp. 505 ss et les références citées). 4.2.2.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15 juin 2017/1 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BSK Zivilgesetzbuch l, op. cit., n. 24 ad art. 421-424 CC, p. 2574). De manière générale, la perte de confiance de la personne concernée en son curateur, des conflits ou une relation irrémédiablement détruite peuvent constituer un juste motif de libération (Vogel, BSK Zivilgesetzbuch l, op. cit., n. 26 ad art. 421-424 CC, p. 2574). Dans l'application de l'art. 423 CC, l'autorité de protection jouit d'un large pouvoir d'appréciation, qu'elle doit exercer à la lumière des intérêts de la personne concernée (Meier, op. cit., n. 1147, p. 609 ; TF 5A_443/2021 du 18 janvier 2022 consid. 3 ; TF 5A_391/2016 du 4 octobre 2016 consid. 5.2.2). 4.3. En l'espèce, X.________ déclare ne plus avoir confiance dans sa curatrice, relevant divers incidents. D'une part, ces événements n'ont pas la portée qu'elle entend leur donner. En effet, le conseil de la recourante semble faire grand cas de factures impayées, alors qu’il ressort des déterminations du SCTP que ces factures ont en fait été récupérées au domicile de la recourante par le cabinet de son conseil et qu’elles n’ont ainsi pas été transmises comme prévu à sa curatrice, et ce bien que l’intéressée ait reçu des enveloppes préaffranchies pour ce faire ; les factures ont été acquittées dès qu’elles ont été portées à la connaissance du SCTP. Les multiples interventions du conseil dans la communication entre la personne concernée et sa curatrice ont manifestement également eu des conséquences dans les démarches entreprises en vue de trouver une nouvelle médecin traitante et dans les changements entrepris au niveau du service de soins à domicile. D'autre part, – à supposer qu'il faudrait reprocher des agissements ou omissions à la curatrice, ce qui ne semble pas le cas — ces problèmes lors de la mise en place de la curatelle ne sont pas d'une gravité justifiant de libérer immédiatement la curatrice de son mandat. Bien plutôt, il apparait que la personne concernée, sur l'insistance de son conseil, cherche à écarter l'actuelle curatrice – comme elle l’a par ailleurs déjà fait avec son ancien curateur Me Y.________, qui a fini par renoncer. Or, ainsi qu'il a déjà été relevé, la personne concernée n'est pas en mesure de discerner lorsqu'une personne agit à ses côtés de manière abusive. A ce stade, l'action de Me P.________ et de sa stagiaire apparait discutable. Le montant des honoraires requis semble élevé sur une période de quelque six mois. S'il est incontestable que X.________ apprécie la visite régulière de l’avocate-stagiaire à son domicile, force est de constater que ces visites hebdomadaires excèdent le cadre de la bonne conduite de la curatelle et, même rémunérées au tarif « des curateurs vaudois », ces visites sont superfétatoires et de nature à générer des frais importants. Le SCTP a par ailleurs émis à maintes reprises des doutes sur l’adéquation des mesures prises par le cabinet de Me P.________ et a même tenté de demander la résiliation du mandat par l’autorité de protection, pour le bien de sa protégée. A ce stade, ces éléments laissent penser que l'intéressée n'a pas la distance suffisante pour prendre une décision objective sur la personne qui doit être nommée en qualité de curateur. En définitive, considérant l'incapacité de X.________ à reconnaître lorsqu'un tiers ne cherche pas à protéger ses intérêts, constatée par la médecin déléguée, c'est à juste titre que l'autorité de protection a nommé une curatrice neutre, hors du cercle familial et qui ne soit pas son conseil actuel.</w:t>
      </w:r>
    </w:p>
    <w:p>
      <w:r>
        <w:rPr>
          <w:b/>
        </w:rPr>
        <w:t>E. 5</w:t>
      </w:r>
    </w:p>
    <w:p>
      <w:r>
        <w:t>En conclusion, le recours, manifestement mal fondé, doit être rejeté et l'ordonnance attaquée confirmée. Les frais judiciaires de deuxième instance peuvent être laissés à la charge de l'Etat (art. 74a TFJC [Tarif des frais judiciaires civils du 28 septembre 2010 ; BLV 270.11.5]). Il n'est pas alloué de dépens à la recourante, qui succombe. Par ces motifs, la Chambre des curatelles du Tribunal cantonal, statuant à huis clos, prononce : I. Le recours est rejeté. II. L'ordonnance de mesures provisionnelles est confirmée. III. L'arrêt est rendu sans frais judiciaires de deuxième instance, ni dépens. IV. L'arrêt est exécutoire. La vice-présidente : La greffière : Du L'arrêt qui précède, dont la rédaction a été approuvée à huis clos, est notifié à : ‑ Me P.________ (pour X.________), ‑ SCTP, à l’att. de Mme Z.________,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