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685 vom 29. August 2024</w:t>
      </w:r>
    </w:p>
    <w:p>
      <w:r>
        <w:t>VD Tribunal cantonal, 2024-08-29, FR</w:t>
      </w:r>
    </w:p>
    <w:p>
      <w:r>
        <w:rPr>
          <w:b/>
        </w:rPr>
        <w:t xml:space="preserve">Quelle: </w:t>
      </w:r>
      <w:r>
        <w:t>https://mcp.opencaselaw.ch/entscheid/vd_findinfo_Arr_t___2024___685</w:t>
      </w:r>
    </w:p>
    <w:p>
      <w:r>
        <w:t>FR: VD_FINDINFO Arrêt / 2024 / 685 du 29 août 2024</w:t>
      </w:r>
    </w:p>
    <w:p>
      <w:r>
        <w:t>IT: VD_FINDINFO Arrêt / 2024 / 685 del 29 agosto 2024</w:t>
      </w:r>
    </w:p>
    <w:p>
      <w:pPr>
        <w:pStyle w:val="Heading2"/>
      </w:pPr>
      <w:r>
        <w:t>Regeste</w:t>
      </w:r>
    </w:p>
    <w:p>
      <w:r>
        <w:t>RENTE D'INVALIDITÉ, ATTEINTE À LA SANTÉ PSYCHIQUE, LIBRE APPRÉCIATION DES PREUVES, DÉCISION DE RENVOI, ADMISSION DE LA DEMANDE | 28 LAI, 4 al. 1 LAI, 43 al. 1 LPGA, 6 LPGA, 61 let. c LPGA, 7 LPGA, 8 LPGA</w:t>
      </w:r>
    </w:p>
    <w:p>
      <w:pPr>
        <w:pStyle w:val="Heading2"/>
      </w:pPr>
      <w:r>
        <w:t>Erwägungen</w:t>
      </w:r>
    </w:p>
    <w:p>
      <w:r>
        <w:rPr>
          <w:b/>
        </w:rPr>
        <w:t>E. 10</w:t>
      </w:r>
    </w:p>
    <w:p>
      <w:r>
        <w:t>a) Le recours doit être admis et la décision litigieuse annulée, la cause étant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Dès lors que seul l’avocat désigné comme curateur ou tuteur qui mène avec succès le procès de son pupille peut prétendre à des dépens (ATF 124 V 338 consid. 4 et la référence), le Service des curatelles et tutelles professionnelles n’a pas droit à l’allocation de dépens pour la défense des intérêts de la recourante. d) Vu ce qui précède, la demande d’assistance judiciaire du 23 mai 2022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