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683 vom 24. Oktober 2024</w:t>
      </w:r>
    </w:p>
    <w:p>
      <w:r>
        <w:t>VD Tribunal cantonal, 2024-10-24, FR</w:t>
      </w:r>
    </w:p>
    <w:p>
      <w:r>
        <w:rPr>
          <w:b/>
        </w:rPr>
        <w:t xml:space="preserve">Quelle: </w:t>
      </w:r>
      <w:r>
        <w:t>https://mcp.opencaselaw.ch/entscheid/vd_findinfo_Arr_t___2024___683</w:t>
      </w:r>
    </w:p>
    <w:p>
      <w:r>
        <w:t>FR: VD_FINDINFO Arrêt / 2024 / 683 du 24 octobre 2024</w:t>
      </w:r>
    </w:p>
    <w:p>
      <w:r>
        <w:t>IT: VD_FINDINFO Arrêt / 2024 / 683 del 24 ottobre 2024</w:t>
      </w:r>
    </w:p>
    <w:p>
      <w:pPr>
        <w:pStyle w:val="Heading2"/>
      </w:pPr>
      <w:r>
        <w:t>Regeste</w:t>
      </w:r>
    </w:p>
    <w:p>
      <w:r>
        <w:t>RENTE D'INVALIDITÉ, RENTE ÉCHELONNÉE, ÉVALUATION DE L'INCAPACITÉ DE TRAVAIL, ÉVALUATION DE L'INVALIDITÉ, EXPERTISE MÉDICALE, EXPERTISE ORDONNÉE PAR L'ADMINISTRATION, FORCE PROBANTE | 28 LAI, 28a LAI, 16 LPGA, 17 LPGA, 88a RAI</w:t>
      </w:r>
    </w:p>
    <w:p>
      <w:pPr>
        <w:pStyle w:val="Heading2"/>
      </w:pPr>
      <w:r>
        <w:t>Erwägungen</w:t>
      </w:r>
    </w:p>
    <w:p>
      <w:r>
        <w:rPr>
          <w:b/>
        </w:rPr>
        <w:t>E. 7</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Le fait qu’une expertise psychiatrique n’a pas été établie selon les standards posés par l’ATF 141 V 281 ne suffit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c) En fonction du tableau clinique, des ajustements devront être faits en conséquence lors de l’évaluation de certains indicateurs. Compte tenu par ailleurs du principe de proportionnalité, il peut être renoncé à cette méthode d’administration des preuves, lorsque dans le cas particulier, une telle administration ne s’avère ni nécessaire, ni adéquate (ATF 143 V 418 consid. 7.1 ; 143 V 409 consid. 4.5.3).</w:t>
      </w:r>
    </w:p>
    <w:p>
      <w:r>
        <w:rPr>
          <w:b/>
        </w:rPr>
        <w:t>E. 8</w:t>
      </w:r>
    </w:p>
    <w:p>
      <w:r>
        <w:t>a) On peut, en l’occurrence, constater que le rapport d’expertise du Centre N.________ est exhaustif et que les experts se sont déterminés en toute connaissance de cause sur l’ensemble des problématiques évoquées dans le cas du recourant. Les experts ont pris en compte l’évolution de son état de santé, les plaintes alléguées, et ont justifié leurs points de vue respectifs, en fonction des constats cliniques objectifs ressortant à leurs sphères de compétence. Leurs conclusions sont au demeurant dûment motivées, sans être contredites par des avis spécialisés subséquents. Dans ce contexte, on peut écarter les considérations d’ordre général soulevées par le recourant, selon lesquelles le Centre N.________ serait forcément défavorable aux assurés. On rappellera en effet que la méfiance à l'égard des experts doit apparaître comme fondée sur des éléments objectifs ressortant à un cas particulier, non pas sur des impressions, qui plus est celles d’un mandataire, pour justifier éventuellement un motif de récusation ou remettre en question la partialité des experts (cf. ATF 137 V 210 consid. 1.3.3 et les arrêts cités ; 132 V 93 consid. 7.1). b) S’agissant des conclusions rapportées par la Dre P.________ du point de vue orthopédique, cette spécialiste a examiné les conséquences de l’accident dont a été victime le recourant en 2014, en se fondant sur les résultats de son examen clinique, ainsi que sur les nombreux rapports spécialisés et documents d’imagerie versés à son dossier. Elle a dûment pris en compte les interventions effectuées aux membres inférieurs, ainsi que l’arthrose consécutive de la cheville droite et du genou gauche. Elle a en définitive retenu des diagnostics superposables à ceux indiqués par le Dr G.________, divergeant uniquement sur l’appréciation de la capacité de travail du recourant. A cet égard, on relève que les considérations du Dr G.________, notamment en lien avec le caractère « purement théorique » de la capacité de travail dans une activité adaptée, tiennent vraisemblablement compte d’éléments étrangers à l’invalidité. Quoi qu’en dise ce spécialiste, on ne voit pas de sérieuses raisons, du point de vue strictement médical, de conclure que l’exigibilité d’une activité sédentaire, permettant l’alternance des positions, sans montées ni descentes d’escaliers ou d’échelles et sans port de charges, s’avérerait irréaliste ou trop contraignante, ce même au taux de 100 %. On soulignera au demeurant que l’exigibilité déterminée par la Dre P.________ rejoint celle retenue en son temps au sein de la Policlinique I.________ (cf. conclusions du rapport d’expertise judiciaire du 26 juin 2018). Dans l’intervalle, le recourant a subi une arthrodèse sous-talienne droite le 8 juin 2020, laquelle a été considérée comme consolidée le 2 février 2021. Il souffre également d’arthrose de la cheville droite et du genou gauche. Cela étant, on ne voit pas que ces affections seraient susceptibles de générer des restrictions sévères et durables du point de vue fonctionnel dans une mesure se répercutant significativement sur l’exigibilité prise en considération dans son cas. Aux dires de la Dre P.________, les impacts concrets de ces atteintes à la santé sont « similaires dans tous les domaines de la vie », le recourant connaissant des limitations uniquement dans les tâches lourdes ou dans les déplacements. On ajoutera par ailleurs que l’experte du Centre N.________ a expressément rapporté une divergence entre l’intensité des douleurs décrites par le recourant et le maintien de son fonctionnement, ainsi que la faible demande d’antalgie (cf. rapport d’expertise du Centre N.________, expertise orthopédique, p. 41 et 42). Il convient en définitive de suivre l’appréciation de la Dre P.________ en ce qui concerne tant la capacité de travail du recourant que les limitations fonctionnelles retenues sur le plan orthopédique. c) Eu égard à l’évaluation du registre psychiatrique, le Dr S.________ a relaté ses constats cliniques et les informations recueillies in casu en ces termes (cf. rapport d’expertise du Centre N.________, expertise psychiatrique, p. 59 ss) : « […] 4.3.1 Status L’assuré ne présente pas de trouble de la vigilance ou de l’attention. L’expertisé est orienté dans le temps et l’espace. La mémoire immédiate est conservée. La mémoire à long terme sur certaines dates est moins précise. Précisons que l’assuré ne fait pas de grandes erreurs dans l’enchaînement des événements et se situe correctement, au regard des informations du dossier, par rapport aux événements qui se sont passés un certain moment dans sa vie avant l’accident, mais également après l’accident. Le cours de la pensée est dans la norme. L’expertisé est capable de répondre aux questions en restant sur le sujet investigué, sans digression. Le contenu de la pensée est dans la norme. Il n’y a pas de rumination, de pensée obsessionnelle ni d’idée délirante décelées lors de l’entretien. Il n’y a pas d’illusion, d’hallucination auditive, visuelle, tactile ou cénesthésique. La conscience de soi est présente. Il n’y a donc pas de perturbation de l’image corporelle ni de dépersonnalisation. Il n’y a pas d’émoussement ou d’abrasion des affects qui sont appropriés. Il n’y a pas de labilité émotionnelle. Il n’y a pas d’irritabilités. L’image de soi, l’estime de soi et la confiance en soi sont conservées, l’assuré ne présente à aucun moment un sentiment de fragilité sur ce point. Pas de sentiments de culpabilité. Pas d’idées de dévalorisation. Pas d’attitude morose et pessimiste. L’assuré est calme. L’humeur est légèrement triste et pas pendant tout l’entretien. Le comportement est approprié. Il n’y a pas d’élément lié à une compulsion ni à une impulsion. 4.3.2 Examens complémentaires En raison de l’absence de prise de traitement psychiatrique, nous n’organisons pas de dosage. 4.3.3 Bilan neuropsychologique Rapport du 4 avril 2022, Centre K.________, Dr R.________, effectué à notre demande : Basé sur un entretien le 23.03.2022. Un diagnostic de variante comportementale de dégénérescence fronto-temporale cliniquement « probable » a été retenu précédemment. Le doute diagnostic persiste. Lors de cet entretien, le patient explique aller beaucoup mieux depuis la dernière consultation. Il a interrompu ses traitements (Brintellix, Trittico, Haldol). Le moral est meilleur, rémission des symptômes anxieux, pas de trouble du sommeil, ni d’hallucinations visuelles ou auditives. Reprise des activités physiques. Suivi psychiatrique interrompu étant donné l’amélioration clinique. La réévaluation neuropsychologique évoque une légère amélioration du tableau cognitif. La cinétique de l’évolution des troubles est plutôt en défaveur d’une origine neurodégénérative. La consœur conclut sur une étiologie mixte (thymique, iatrogène et une possible phénocopie DFT). 5. INFORMATIONS ÉVENTUELLES FOURNIES PAR DES TIERS Entretien téléphonique le 24.11.2021 avec Dr O.________ à [...], psychiatre de l’assuré. Dr O.________ confirme que son patient va mieux depuis les deux derniers rendez-vous qu’elle a eus avec lui. Cependant, elle précise qu’elle sent son patient comme étant « à côté de la plaque » plus loin dans le passé, qu’elle a observé aussi des troubles d’élocution et elle a craint une certaine forme de « lune de miel », à savoir une rechute possible dans les prochaines semaines ou mois. Elle considère cette situation bizarre, ne croit pas trop à une amélioration durable. Elle penserait également à une forme d’anosognosie ou une forme de démence qui s’installerait avec une clinique instable, tout en sachant qu’elle valide le fait que cette situation n’est pas claire. Elle précise également que son patient, normalement, serait vu une fois par mois, mais qu’en réalité les séances une fois tous les deux mois sont dues à des rendez-vous ratés ou des pertes de papiers sur lesquels il note les rendez-vous. […] 6.4 Discussion des diagnostics retenus Au moment de notre entretien, nous n’avons plus aucun argument pour évoquer un processus évolutif de type démence. L’assuré ne présente pas de trouble cognitif majeur. Ceci est confirmé par le rapport complémentaire du Dr R.________ du 4 avril 2022. Nous retenons un diagnostic de dépression d’intensité légère, bien que la tristesse ne soit pas présente toute la journée et presque tous les jours. En revanche, l’anhédonie peut être retenue comme présente. […] Aujourd’hui, nous pouvons conclure avec une vraisemblance prépondérante que l’assuré a développé une dépression entre fin 2019 et début 2020, d’après les rapports de sa psychiatre, que cette dépression a été sévère avec des symptômes psychotiques, diagnostic différentiel d’une dépression associée à des troubles psychotiques passagers, avec un impact majeur sur les cognitions, cette phase s’étant amendée aux alentours d’août/septembre 2021. […] » Quoi que soutienne le recourant, on ne voit pas que le Dr S.________ aurait procédé à une analyse expéditive ou incomplète de son état de santé psychique. On relève bien plutôt que ce spécialiste a examiné les rapports médicaux versés au dossier et sollicité une nouvelle évaluation neuropsychologique au sein du Centre K.________. Il s’est également entretenu avec les différents intervenants, telles que la psychiatre traitante du recourant et la spécialiste du centre précité. Fondé sur les éléments objectifs résultant de son examen, l’expert s’est enfin déterminé, de manière à emporter la conviction, sur la capacité de travail du recourant. On relève qu’il s’est rallié dans un premier temps à l’appréciation de la Dre O.________, dès la fin de l’année 2019, avant de constater, dans un second temps, une amélioration rapportée dès août 2021 par le recourant lui-même et corroborée par les évaluations rassurantes, établies au sein du Centre K.________. On ne saurait ainsi considérer que le volet psychiatrique de l’expertise réalisée au sein du Centre N.________ serait superficiel ou insuffisant. On rappellera, au surplus, que la durée de l’examen d’expertise ou le nombre de séances ne sont pas, en soi, des critères de la valeur probante d’un rapport médical (TF 9C_457/2021 du 13 avril 2022 consid. 6.2 ; 9C_542/2020 du 16 décembre 2020 consid. 7.4 et les références). d) S’agissant des indicateurs préconisés par la jurisprudence fédérale, le Dr S.________ s’est exprimé comme suit (cf. rapport d’expertise du Centre N.________, expertise psychiatrique, p. 72 et 73) : « […] Il n’y a aujourd’hui, sur le plan psychiatrique, aucun impact sur les domaines de la vie au sens professionnel, car l’assuré, s’il n’était pas limité physiquement, pourrait continuer à fonctionner à travailler. La question qui serait en suspens serait sa capacité à travailler sur un chantier, ayant été dans le passé probablement traumatisé. Même si nous ne retenons pas un état de stress post-traumatique, une telle réexposition nécessiterait un accompagnement. Évidemment, la question de l’absence de capacités physiques, que nous ne commenterons pas, nous laisse entendre que cette hypothèse n’est pas plausible. Il reste néanmoins un impact sur son domaine de vie privée, tout en sachant que cet assuré reste néanmoins très isolé, déjà bien avant l’accident, alors même qu’il n’a pas d’antécédent psychiatrique de par le passé. Il s’agit probablement d’un mode de vie installé depuis un certain temps chez quelqu’un de peu intégré, qui ne maitrise pas totalement la langue française, qui est venu pour travailler en Suisse et qui n’avait, semble-t-il, pas d’autre projet. Son seul projet actuel est d’essayer d’aller mieux sur le plan de sa santé physique. Nous ne retenons pas de bénéfice secondaire à la maladie. Il n’y a pas de limitation fonctionnelle invoquée par l’assurée sur le plan psychiatrique. Il n’y a pas de divergence entre les plaintes et l’attitude de l’assuré. Le tableau clinique est cohérent. Les plaintes sur le plan psychiatrique ne sont pas formulées. Il se plaint sur le plan des douleurs et ses plaintes sont plutôt précises, en ciblant certains organes et certaines parties du corps. L’assuré n’est pas démonstratif, n’exagère pas, ne simule pas. […] Capacités : elles sont surtout limitées sur le plan physique. Il y a peut-être aussi un manque d’habitude de s’occuper pleinement de soi, nous n’avons pas la possibilité de comparer à ce que faisait l’assuré avant l’accident, au moment où il n’était pas limité sur le plan physique. S’occupait-il effectivement tout seul de son ménage ou avait-il à ce moment-là d’autres aides ou simplement une qualité d’occupation de son ménage limitée ? Nous n’en avons pas les éléments suffisamment précis aujourd’hui. Sur le plan des relations, il est limité depuis toujours, reste assez isolé. Peu d’activités, qui sont aussi limitées sur le plan physique actuellement. Il ne décrit pas non plus d’envie majeure pour mener certaines activités, probablement en raison d’une certaine anhédonie encore présente. Ressources : l’entourage est présent seulement une fois par année lorsqu’il va voir la famille. Il n’a pas de formation spécifique et n’a jamais travaillé dans un autre domaine que le domaine de la maçonnerie. Difficultés : isolement social, éloignement de son environnement familial qui pourtant ne lui avait pas posé de problème dans le passé. Une désinsertion sociale qui, semble-t-il, est également présente de longue date. Limitations fonctionnelles : nous ne retenons pas de limitation fonctionnelle sur le plan psychiatrique. […] » Quand bien même cette appréciation est relativement succincte, il n’en demeure pas moins qu’elle apparaît cohérente avec les données anamnestiques fournies par le recourant. Force est donc de constater qu’eu égard à ses ressources et capacités, le recourant n’a pas connu une altération significative de sa situation pour des motifs psychiatriques. e) En définitive, en l’absence d’éléments médicaux nouveaux subséquents, on ne voit pas de raison de se distancer des conclusions rapportées par le Centre N.________ le 18 mai 2022. Il convient donc de retenir que le recourant est doté d’une capacité de travail de 100 % dans une activité adaptée, sous réserve de la période débutant en fin d’année 2019 et s’achevant en août 2021, durant laquelle il a connu une incapacité totale de travail motivée par une atteinte à la santé psychique dûment prise en charge et désormais amendée.</w:t>
      </w:r>
    </w:p>
    <w:p>
      <w:r>
        <w:rPr>
          <w:b/>
        </w:rPr>
        <w:t>E. 9</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c) Le recourant ne fait valoir aucun grief à l’encontre de l’évaluation de l’invalidité opérée par l’intimé, singulièrement eu égard aux revenus avec et sans invalidité déterminés sur la base des statistiques salariales dans son cas. Dans la mesure où le préjudice déterminé par l’intimé à compter d’août 2021 n’apparaît pas critiquable, on peut confirmer le taux d’invalidité de 10 % mis en évidence le 1 er février 2023. Faute d’atteindre le seuil de 40 % prévu par l’art. 28 al. 2 LAI, le recourant ne peut donc pas prétendre à une rente de l’assurance-invalidité au-delà du 30 novembre 2021, soit trois mois après la survenance de l’amélioration de son état de santé psychique objectivée au sein du Centre N.________ (cf. art. 88 a al. 1 RAI). d) On ajoutera que même s’il convenait de retenir le degré d’invalidité fixé par la CNA dans sa décision du 2 mars 2023, cela n’aurait aucune incidence sur le droit aux prestations de l’assurance-invalidité du recourant au-delà du 30 novembre 2021.</w:t>
      </w:r>
    </w:p>
    <w:p>
      <w:r>
        <w:rPr>
          <w:b/>
        </w:rPr>
        <w:t>E. 10</w:t>
      </w:r>
    </w:p>
    <w:p>
      <w:r>
        <w:t>a) Sur le vu de ce qui précède, le recours, mal fondé, doit être rejeté et la décision de l’intimé du 27 septembre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Ils sont toutefois provisoirement laissés à la charge de l’Etat, puisqu’il a été mis au bénéfice de l’assistance judiciaire par décision du 28 novembre 2023. c) En outre, n’obtenant pas gain de cause, le recourant ne saurait prétendre à des dépens (art. 55 al. 1 LPA-VD et art 61 let. g LPGA). d) Le recourant bénéficie, au titre de l'assistance judiciaire, de la commission d'office d'un avocat en la personne de Me Jean-Michel Duc, à compter du 1 er novembre 2023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mémoires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28 février 2024 la liste des opérations effectuées pour le compte du recourant. Il a fait état de 6 heures et 16 minutes (6,27 heures) consacrées à la présente procédure par un avocat, collaborateur de son étude, X.________. Dans la mesure où aucune autorisation judiciaire n’a été demandée pour cette substitution, Me Duc n'était pas en droit de déléguer à ce collaborateur des tâches relevant de son mandat d'office. Il ne peut par conséquent prétendre aucune indemnisation pour l’activité de ce dernier. d) Le recourant est rendu attentif au fait qu'il demeure tenu de rembourser les frais judiciaires, dès qu'il sera en mesure de le faire en vertu de l’art. 123 al. 1 CPC.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