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646 vom 12. August 2024</w:t>
      </w:r>
    </w:p>
    <w:p>
      <w:r>
        <w:t>VD Tribunal cantonal, 2024-08-12, FR</w:t>
      </w:r>
    </w:p>
    <w:p>
      <w:r>
        <w:rPr>
          <w:b/>
        </w:rPr>
        <w:t xml:space="preserve">Quelle: </w:t>
      </w:r>
      <w:r>
        <w:t>https://mcp.opencaselaw.ch/entscheid/vd_findinfo_Arr_t___2024___646</w:t>
      </w:r>
    </w:p>
    <w:p>
      <w:r>
        <w:t>FR: VD_FINDINFO Arrêt / 2024 / 646 du 12 août 2024</w:t>
      </w:r>
    </w:p>
    <w:p>
      <w:r>
        <w:t>IT: VD_FINDINFO Arrêt / 2024 / 646 del 12 agosto 2024</w:t>
      </w:r>
    </w:p>
    <w:p>
      <w:pPr>
        <w:pStyle w:val="Heading2"/>
      </w:pPr>
      <w:r>
        <w:t>Regeste</w:t>
      </w:r>
    </w:p>
    <w:p>
      <w:r>
        <w:t>ÉVALUATION DE L'INVALIDITÉ, REVENU D'INVALIDE, REVENU SANS INVALIDITÉ, FORCE PROBANTE | 28 al. 1 LAI, 28 al. 2 LAI, 6 LPGA, 7 LPGA, 8 al. 1 LPGA</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5.1</w:t>
      </w:r>
    </w:p>
    <w:p>
      <w:r>
        <w:t>;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néanmoins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En l’occurrence, il convient d’observer que les termes des décisions litigieuses permettent de comprendre les motifs matériels pour lesquels l’intimé a accordé au recourant les prestations en cause. Le recourant a, au demeurant, été en mesure de comprendre la portée de ces décisions, et de saisir la Cour des assurances sociales du Tribunal cantonal, laquelle est dotée d’un plein pouvoir d’examen, et de faire valoir l’intégralité de ses griefs, dans le cadre d’un double échange d’écritures. Ainsi, bien qu’il soit douteux que l’on puisse considérer que son droit d’être entendu eût été violé, il y a lieu, quoi qu’il en soit, de constater que cette violation a été réparée devant la présente autorité. Le grief doit dès lors être écarté. 8. Dans un premier moyen de fond, le recourant soutient en substance que le taux d’activité de 60% retenu par l’intimé dans les décisions attaquées est contredit par ses médecins, qui estiment qu’il ne peut pas travailler à plus de 50%, ainsi que par la réalité du marché du travail, qui démontre qu’il n’est effectivement pas en mesure d’exercer une activité à 60%. A toutes fins utiles, on rappellera à ce stade que les décisions rendues initialement par l’OAI les 21 septembre, 24 septembre et 18 octobre 2018 ont été annulées par le précédent arrêt de la CASSO en tant qu’elles portaient sur le droit aux prestations dès le 1 er février 2017. Seule la période postérieure à cette date est dès lors déterminante. Il convient tout d’abord de relever que le recourant n’élève aucun grief spécifique à l’encontre de l’expertise de Centre d'expertise T.________SA, complétée par une évaluation neuropsychiatrique, respectivement à l’encontre de l’avis du Dr J.________ du SMR du</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9G_748/2013 du 10 février 2014 consid. 4.1.1, 9C_631/2012 du</w:t>
      </w:r>
    </w:p>
    <w:p>
      <w:r>
        <w:rPr>
          <w:b/>
        </w:rPr>
        <w:t>E. 9</w:t>
      </w:r>
    </w:p>
    <w:p>
      <w:r>
        <w:t>novembre 2021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Dans un grief de nature formelle qu’il y a lieu de traiter en premier, le recourant se plaint, au moins implicitement, d’une violation de son droit d’être entendu, déplorant le caractère succinct des décisions attaquées, ainsi que l’absence d’éléments relatifs au fait qu’il a travaillé depuis 2018 à 50%, et non à 60%.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sorte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w:t>
      </w:r>
    </w:p>
    <w:p>
      <w:r>
        <w:rPr>
          <w:b/>
        </w:rPr>
        <w:t>E. 14</w:t>
      </w:r>
    </w:p>
    <w:p>
      <w:r>
        <w:t>février 2022, mais fait pour l’essentiel valoir que sa situation réelle démontre qu’il n’est pas en mesure de travailler à plus de 50%, se prévalant en cela de l’avis de ses médecins, en particulier des Drs K.________ et H.________. Sur le plan formel, le rapport d’expertise pluridisciplinaire de Centre d'expertise T.________SA remplit tous les réquisits de la jurisprudence pour se voir reconnaître une pleine valeur probante. Une évaluation consensuelle a été dûment menée et chaque médecin a rendu un rapport dans sa spécialité. Ces rapports se fondent sur des examens complets (pp. 11, 17-18, 25, 33-34), prennent en considération les plaintes exprimées par le recourant (p. 9, 15-16, 22-23, 30-31), ont été établis en pleine connaissance du dossier (anamnèse, pp. 9-10, 16-17, 23-24, 31-32), comportent une description du contexte médical (annexe 5 du rapport) et une appréciation claire de la situation médicale (pp. 12, 18-19, 27, 35-36). Enfin, les conclusions de ces rapports sont bien motivées (pp. 12,19, 25-26, 28, 36). L’expert psychiatre en particulier s’est en outre prononcé sur les indicateurs propres aux atteintes psychiques. Sur le fond, les experts ont conclu à une capacité de travail de 60% dans une activité adaptée, essentiellement en raison des atteintes psychiatriques et neurologiques. Ils ont été en mesure de discuter les diagnostics retenus et leurs éventuelles répercussions sur la capacité de travail du recourant. Leur appréciation convaincante ne saurait être remise en cause par les avis des médecins traitants, lesquels sont généralement enclins à prendre le parti de leur patient, si bien que leurs rapports doivent être considérés avec une certaine retenue. Cela étant, on relèvera que le Dr K.________ a fait état d’une capacité de travail de l’assuré de 60% dans un rapport du 27 octobre 2017 puis de 65% le 9 février 2018, rejoignant l’appréciation des experts. Ce n’est que postérieurement à la décision du 21 septembre 2018, dans le cadre de la procédure de recours, que le recourant a produit un rapport du 21 janvier 2020 du Dr K.________ attestant d’une capacité de travail de 50%, ainsi qu’un rapport du 25 janvier 2019 du Dr H.________, qui retient également une capacité de 50%. Or les diagnostics et limitations fonctionnelles figurant dans ces rapports ont été pris en compte par les experts de Centre d'expertise T.________SA. Ces documents ne font en l’occurrence pas état d’éléments déterminants nouveaux dont les experts n’auraient pas tenu compte. C’est le lieu de rappeler qu’il appartient à un médecin de porter un jugement sur l'état de santé d'un assuré et d'indiquer dans quelle mesure et pour quelles activités celui-ci est incapable de travailler, les données médicales l'emportant au demeurant sur les constatations qui peuvent être faites à l'occasion d'un stage d'observation professionnelle (TF 9C_631/2007 du 4 juillet 2008 consid. 4.1 ; ATF 125 V 256 consid. 4). On ne saurait ainsi rien déduire du fait que l’assuré n’a pas été en mesure d’augmenter sa capacité de travail au-delà de 50% durant la mesure de réentrainement. Les experts ont procédé à un examen complet et fouillé de l’état de santé du recourant et des répercussions de ses atteintes sur sa capacité de travail, en se fondant sur tous les éléments au dossier. Leur appréciation a été au demeurant complétée par celle d’une neuropsychologue, qui n’a constaté aucun trouble spécifique selon les critères du DSM-5. Dans ces conditions, l’OAI était fondé, sur la base du rapport d’expertise de Centre d'expertise T.________SA du 25 mai 2021 pleinement probant, complété par le rapport d’évaluation neuropsychologique détaillé du 4 janvier 2022, à retenir les limitations fonctionnelles suivantes psychiatriques : perte d’élan vital, fatigabilité. Envahissement du champ de pensée par des idées récurrentes, difficulté à pouvoir exprimer les sentiments, excès de perfectionnisme, traitement simultané d’informations multiples, travaux nécessitant des prises de décisions immédiates ; neurologiques : position assise prolongée, douleurs à la nuque nécessitant de faire des pauses ; neuropsychologiques : tâches à haute exigence cognitive, travaux nécessitant la prise en compte de plusieurs tâches, et à estimer que la capacité de travail dans une activité adaptée était de 60%. Au vu des constatations, probantes, résultant de l’évaluation neuropsychologique, il y a pour le surplus lieu de retenir que l’activité habituelle de responsable informatique exercée depuis 2009, et qui a conduit au « burnout » de l’assuré en février 2015, n’est plus exigible. La neuropsychologue a en effet bien indiqué que l’assuré présentait une limitation fonctionnelle liée à une sensibilité à la surcharge cognitive pour les tâches attentionnelles et les tâches relatives aux fonctions exécutives. Cette limitation fonctionnelle ne permettait plus à l’assuré d’assumer une activité professionnelle en tant que chef de projet ou autre activité professionnelle impliquant une responsabilité décisionnelle. Ainsi, des activités professionnelles telles qu’exercées dans le cadre de la [...] ou encore auprès de la Coopérative V.________ ne pouvaient plus être assumées par l’assuré. Le dernier licenciement (par la Coopérative V.________) avait mis en évidence des difficultés liées à la surcharge cognitive qui entraînait une lenteur pathologique et des erreurs non repérées par l’assuré. Ces difficultés avaient été retrouvées lors de l’examen neuropsychologique et avaient probablement été à l’origine d’une plainte impliquant une insuffisance des connaissances en comptabilité dans le cadre de son emploi auprès de la Coopérative V.________. Compte tenu des difficultés rencontrées, il était impératif qu’un réajustement du niveau d’intervention professionnelle de l’assuré soit effectué et respecté, afin que la qualité du travail puisse être maintenue, étant précisé que les capacités instrumentales de l’assuré ne présentaient pas de déficit. 9. Dans un autre moyen, le recourant s’en prend au calcul du droit à la rente, singulièrement aux montants retenus à titre de revenus sans et avec invalidité, et subsidiairement à l’abattement. a) Pour déterminer le revenu sans invalidité, nécessaire à l'évaluation du taux d'invalidité conformément à l'art. 16 LPGA, il faut établir ce que la personne assurée aurait, au degré de la vraisemblance prépondérante (ATF 139 V 28 consid. 3.3.2), réellement pu obtenir au moment déterminant si elle n'était pas devenue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144 I 103 consid. 5.3; 139 V 28 consid. 3.3.2). Le salaire réalisé en dernier lieu comprend tous les revenus d'une activité lucrative (y compris les gains accessoires, la rémunération des heures supplémentaires effectuées de manière régulière) soumis aux cotisations à l'assurance-vieillesse et survivants (AVS ; arrêt 9C_611/2021 du 21 novembre 2022 consid. 4.1 et la référence). A cet effet, on se fondera en principe sur les renseignements fournis par l'employeur.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de l'assuré. En l'absence d'un revenu effectivement réalisé, soit lorsque la personne assurée, après la survenance de l'atteinte à la santé, n'a pas repris d'activité lucrative ou alors aucune activité lui permettant de mettre pleinement en valeur sa capacité résiduelle de travail, contrairement à ce qui serait raisonnablement exigible de sa part, le revenu d'invalide peut être évalué sur la base de salaires fondés sur les données statistiques résultant de l'ESS (ATF 148 V 174 consid. 6.2; 139 V 592 consid. 2.3; 135 V 297 consid. 5.2; arrêt 9C_149/2023 du 5 juillet 2023 consid. 9.2.1).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l’occurrence, le recourant est d’avis que c’est le revenu qu’il réalisait en qualité de responsable informatique auprès de [...] qui aurait dû être pris en compte. Ce moyen est bien fondé. L’OAI a retenu, en se référant à l’avis juriste du 26 septembre 2022, que le licenciement de l’assuré serait intervenu même sans atteinte à la santé, et s’est dès lors référé, pour le revenu sans invalidité, à l’ESS TA 1 dans les activités informatiques (62-63), niveau 4, pour la période postérieure au 1 er mars 2018. Or le fait que le recourant a été licencié, et qu’il a fait l’objet d’une enquête administrative en 2017 concernant un contrat antidaté qui aurait été co-signé par lui, et qu’il ait indiqué lors d’un entretien du 17 novembre 2016 un possible licenciement avec l’enquête en cours, ne permet pas de retenir un revenu sans invalidité fondé sur l’ESS, ni que le licenciement serait intervenu même sans atteinte à la santé. Avant l’atteinte à la santé, le recourant était en effet en poste comme responsable informatique, depuis 2009. Il n’était donc pas seulement informaticien, mais occupait une fonction de cadre. Dans ces conditions, aucun élément ne permet de s’écarter du revenu effectivement réalisé par le recourant dans ce poste, lequel se montait, en 2015, à 172'484 fr. selon le certificat de salaire produit par le recourant. C’est le montant que celui-ci aurait pu continuer à percevoir s’il n’était pas devenu invalide. c) Le recourant est encore d’avis qu’il convient de retenir, au titre de revenu avec invalidité, les revenus qu’il a effectivement réalisés dans ses activités professionnelles à 50% à compter de février 2017. Or, ainsi qu’on l’a vu, c’est une capacité de travail de 60% dans une activité adaptée qui doit être retenue. A cet égard, le revenu arrêté par l’OAI à titre de revenu avec invalidité peut être confirmé. Il correspond en effet à l’ESS TA 1 dans les activités informatiques (62-63), niveau 4, année de référence 2018, porté à 41.2 heures et indexé à l’année 2022. Au taux de 60%, le montant final retenu à titre de revenu d’invalide s’élève à 70'647 fr. 51. Ce revenu est au demeurant très largement superposable à celui que réaliserait le recourant s’il exerçait son activité actuelle au taux de 60% (71'040 fr., selon ses propres calculs). L’âge du recourant ne permet pas d’opérer un abattement sur le revenu avec invalidité. En effet, en tant que facteur étranger à l'invalidité, il n'y a pas lieu de tenir compte du fait que l'âge de la personne assurée peut avoir une influence négative sur la recherche d'emploi (TF 8C_808/2013 du 14 février 2014 consid. 7.3, cité au consid. 6.3 de l’arrêt TF 9C_325/2022 du 25 mai 2023). Les autres facteurs de réduction (années de service, nationalité) n’entrent pas non plus en ligne de compte dans le cas d’espèce. A tout le moins, ils conduiraient à un préjudice nul, dans la mesure où il faudrait également en tenir compte dans le calcul du revenu sans invalidité. Quant aux limitations fonctionnelles, elles ont été prises en compte dans la diminution de la capacité de travail retenue, raison pour laquelle aucune déduction supplémentaire en raison du taux d’occupation ne saurait être admise. Pour le surplus, l’art. 26bis al. 3 RAI dont se prévaut le recourant ne lui est d’aucun secours, puisque l’ancien droit est applicable (cf. consid. 2 supra), et que l’art. 26bis al. 3 RAI est entré en vigueur le 1 er janvier 2024. Finalement, après comparaison des revenus sans et avec invalidité, il résulte un degré d’invalidité de 59%, qui conduit à l’ouverture du droit à une demi-rente dès le 1 er février 2017 ([172'484 fr. – 70'647 fr. 51] x 100 / 172'484 fr.). A noter que si l’on tient compte du fait que le revenu sans invalidité devrait être indexé à 2017, année déterminante en l’espèce, cela ne change rien au résultat, puisque le calcul avec un revenu porté à 174'206 fr. 94 (172'484 fr. + 1.1% en 2016 et - 0.1% en 2017), comparé au revenu effectivement réalisé au taux de 60%, soit 71'040 fr., donne un résultat de 59,22%, montant qu’il y a lieu d’arrondir à 59%. Il n’y a, pour le surplus, pas lieu d’opérer la distinction que fait le recourant entre différentes périodes, puisque sa capacité de travail est de 60% dans une activité adaptée depuis à tout le moins février 2017, période déterminante in casu . Il n’y a pas non plus lieu de distinguer avec le revenu effectivement perçu pour le compte de la Coopérative V.________, ni pour le compte d’E.________AG, puisque le revenu d’invalide arrêté sur la base de l’ESS par l’OAI correspond aux limitations fonctionnelles et que l’application de l’ESS se justifie en présence d’emplois qui ne présentent pas encore la stabilité requise par la jurisprudence et qui ne mettent pas pleinement en valeur la capacité de travail résiduelle exigible (cf. ATF 148 V 174 consid. 6.2 cité ci-dessus). 10. Le recours est également dirigé contre les décisions du 27 mars 2023. On doit concéder au recourant que dans la mesure où, dans son arrêt du 27 mars 2020, la Cour des assurances sociales a arrêté la situation à la fin du mois de janvier 2017, le droit aux prestations à compter du 1 er février 2017 devant être à nouveau déterminé, les décisions du 27 mars 2023, qui portent sur la période postérieure au 1 er février 2017, sont prématurées. Elles doivent dès lors être annulées, et le dossier retourné à l’intimée pour nouvel examen une fois le présent arrêt entré en force. 11. a) Compte tenu de ce qui précède, le recours doit être admis, les décisions du 27 mars 2023 annulées et la cause renvoyée à l’intimée pour nouvel examen une fois le présent arrêt entré en force et nouvelles décisions. La décision no 03.2023.00'029’393/328.64.490.211 du 26 avril 2023 doit être réformée, en ce sens que le recourant a droit à une demi-rente d’invalidité à partir du 1 er février 2017. Elle est confirmée pour la période antérieure du 1 er février 2016 au 31 janvier 2017. La décision no 03.2023.00'029’369/328.64.490.211, qui porte sur le droit aux prestations du recourant pour la période à partir du 1 er octobre 2018, doit être annulée. b) La procédure de recours en matière de contestations portant sur des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l’intimé. d) Au vu de l’issue du litige, la demande d’assistance judiciaire du 26 mai 2023 est sans objet, le montant des dépens arrêté ci-avant correspondant au moins à ce qui aurait été alloué à titre d’indemnité pour le mandat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