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632 vom 22. August 2024</w:t>
      </w:r>
    </w:p>
    <w:p>
      <w:r>
        <w:t>VD Tribunal cantonal, 2024-08-22, FR</w:t>
      </w:r>
    </w:p>
    <w:p>
      <w:r>
        <w:rPr>
          <w:b/>
        </w:rPr>
        <w:t xml:space="preserve">Quelle: </w:t>
      </w:r>
      <w:r>
        <w:t>https://mcp.opencaselaw.ch/entscheid/vd_findinfo_Arr_t___2024___632</w:t>
      </w:r>
    </w:p>
    <w:p>
      <w:r>
        <w:t>FR: VD_FINDINFO Arrêt / 2024 / 632 du 22 août 2024</w:t>
      </w:r>
    </w:p>
    <w:p>
      <w:r>
        <w:t>IT: VD_FINDINFO Arrêt / 2024 / 632 del 22 agosto 2024</w:t>
      </w:r>
    </w:p>
    <w:p>
      <w:pPr>
        <w:pStyle w:val="Heading2"/>
      </w:pPr>
      <w:r>
        <w:t>Regeste</w:t>
      </w:r>
    </w:p>
    <w:p>
      <w:r>
        <w:t>RESTITUTION{EN GÉNÉRAL}, COMPENSATION DE LA DIFFÉRENCE, GAIN INTERMÉDIAIRE, CALCUL | 24 LACI, 95 al. 1 LACI, 25 al. 1 LPGA, 53 al. 2 LPGA, 41a OACI</w:t>
      </w:r>
    </w:p>
    <w:p>
      <w:pPr>
        <w:pStyle w:val="Heading2"/>
      </w:pPr>
      <w:r>
        <w:t>Erwägungen</w:t>
      </w:r>
    </w:p>
    <w:p>
      <w:r>
        <w:rPr>
          <w:b/>
        </w:rPr>
        <w:t>E. 22</w:t>
      </w:r>
    </w:p>
    <w:p>
      <w:r>
        <w:t>août 2024 __________________ Composition :               Mme Di Ferro Demierre , juge unique Greffier : M.              Varidel ***** Cause pendante entre : Q.________ , à [...], recourant, et Caisse cantonale de chômage , à Lausanne, intimée. _______________ Art.</w:t>
      </w:r>
    </w:p>
    <w:p>
      <w:r>
        <w:rPr>
          <w:b/>
        </w:rPr>
        <w:t>E. 25</w:t>
      </w:r>
    </w:p>
    <w:p>
      <w:r>
        <w:t>al. 1, deuxième phrase, LPGA, devra le cas échéant faire l’objet d’une procédure séparée (TF 9C_110/2019 du 22 juillet 2019 consid. 6). En effet, à teneur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30 jours à compter de l’entrée en force de la décision de restitution (art. 4 al. 4 OPGA). La remise fait ensuite l’objet d’une décision (art. 4 al. 5 OPGA). Il appartiendra en particulier au recourant de déposer une telle demande auprès de la Caisse, une fois que la décision de demande de restitution rectifiée sera entrée en force. 8. a) Au vu de ce qui précède, le recours doit être admis et la décision sur opposition rendue le 12 mars 2024 par l'intimée, annulée, la cause lui étant renvoyée pour nouveau calcul du montant des prestations à restituer et nouvelle décision, dans le sens des considérants du présent arrêt. b) Il n’y a pas lieu de percevoir de frais judiciaires, la procédure étant gratuite (art. 61 let. a LPGA), ni d'allouer de dépens, le recourant ayant obtenu gain de cause sans le concours d’un mandataire qualifié (art. 55 LPA-VD a contrario). Par ces motifs, la juge unique prononce : I. Le recours est admis. II. La décision sur opposition rendue le 12 mars 2024 par la Caisse cantonale de chômage est annulée, la cause lui étant renvoyée pour nouvelle décision dans le sens des considérants. III. Il n'est pas perçu de frais judiciaires, ni alloué de dépens. La juge unique :               Le greffier : Du L'arrêt qui précède est notifié à : ‑ Q.________,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