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544 vom 2. September 2024</w:t>
      </w:r>
    </w:p>
    <w:p>
      <w:r>
        <w:t>VD Tribunal cantonal, 2024-09-02, FR</w:t>
      </w:r>
    </w:p>
    <w:p>
      <w:r>
        <w:rPr>
          <w:b/>
        </w:rPr>
        <w:t xml:space="preserve">Quelle: </w:t>
      </w:r>
      <w:r>
        <w:t>https://mcp.opencaselaw.ch/entscheid/vd_findinfo_Arr_t___2024___544</w:t>
      </w:r>
    </w:p>
    <w:p>
      <w:r>
        <w:t>FR: VD_FINDINFO Arrêt / 2024 / 544 du 2 septembre 2024</w:t>
      </w:r>
    </w:p>
    <w:p>
      <w:r>
        <w:t>IT: VD_FINDINFO Arrêt / 2024 / 544 del 2 settembre 2024</w:t>
      </w:r>
    </w:p>
    <w:p>
      <w:pPr>
        <w:pStyle w:val="Heading2"/>
      </w:pPr>
      <w:r>
        <w:t>Regeste</w:t>
      </w:r>
    </w:p>
    <w:p>
      <w:r>
        <w:t>SUPPRESSION DE LA PRESTATION D'ASSURANCE, RENTE D'INVALIDITÉ, EXPERTISE PLURIDISCIPLINAIRE, ÉVALUATION DE L'INCAPACITÉ DE TRAVAIL, ÉVALUATION DE L'INVALIDITÉ, COMPARAISON DES REVENUS, MÉTHODE EXTRAORDINAIRE D'ÉVALUATION, MOTIF DE RÉVISION | 28 LAI, 17 LPGA, 88a RAI, 88bis RAI</w:t>
      </w:r>
    </w:p>
    <w:p>
      <w:pPr>
        <w:pStyle w:val="Heading2"/>
      </w:pPr>
      <w:r>
        <w:t>Erwägungen</w:t>
      </w:r>
    </w:p>
    <w:p>
      <w:r>
        <w:rPr>
          <w:b/>
        </w:rPr>
        <w:t>E. 4</w:t>
      </w:r>
    </w:p>
    <w:p>
      <w:r>
        <w:t>LPGA). Tel n’a pas été le cas avant l’émission des décisions initiales d’octroi de rente des 1 er février et 9 mars 2015, pas plus qu’à l’occasion de la procédure de révision qui s’est soldée par la communication du 8 février 2017. On ne voit dès lors pas sérieusement que, plus de dix ans après le démarrage de son exploitation, alors que le recourant semble désormais dégager des revenus lui permettant de subsister, l’intimé puisse prendre en considération la cessation de son activité. On peut nier, au vu des circonstances concrètes du cas d’espèce, que tant les conditions subjectives que les conditions objectives mises à la cessation de l’activité agricole soient réalisées au sens de la jurisprudence fédérale citée ci-avant (cf. consid. 8b supra ). b) Eu égard aux données économiques produites par le recourant, on observe que le rapport d’enquête agricole du 17 octobre 2014 a mis en évidence un chiffre d’affaires de 86'677 fr. réalisé en 2013 pour un bénéfice de 1'396 francs. Ces éléments ont permis à l’enquêteur de conclure à une activité peu rentable et de renvoyer à l’évaluation théorique de l’invalidité effectuée par le Service de réinsertion professionnelle de l’intimé le 6 mai 2014. Le 24 mars 2016, un nouveau rapport d’enquête agricole a pris en considération un chiffre d’affaires de 68'838 fr. et un bénéfice de l’activité de 8'176 fr. pour l’année 2014. Il était constaté que le revenu effectif demeurait inférieur au revenu théorique pris en considération pour fixer le degré d’invalidité de 61,22 %. c) Dans le cadre de la révision entamée en mars 2021, l’enquêteur de l’intimé a observé une augmentation substantielle du chiffre d’affaires réalisé par le recourant, après avoir analysé les documents fiscaux et comptables produits par ce dernier pour les années 2016 à 2020. Il a pris en considération les chiffres suivants : 2016 2017 2018 2019 2020 CA 137160 144731 159768 204152 152048 Paiements directs 56641 56924 78474 100067 87038 Amortissements 42202 35738 24544 18534 11791 Résultat net -12008 -13820 25217 56270 28754 L’enquêteur de l’intimé a par ailleurs communiqué son appréciation du cas en ces termes, dans la communication interne du 31 mai 2023 : […] Appréciation Depuis que l’assuré (qui est actuellement âgé de 41 ans) a déposé sa première demande de rente, la mise en valeur de sa capacité de gain dans une activité adaptée, a toujours été privilégiée, en raison des perspectives de gain qu’elle offrait, par rapport à l’activité d’agriculteur, exercée par l’assuré, avec une augmentation progressive des volumes d’activités. […] Sur le vu des pièces économiques à disposition, les revenus réalisés à disposition n’offrent pas les mêmes perspectives de gain que l’exercice d’une activité salariée adaptée. Attendre d’obtenir les documents économiques pour mesurer le préjudice en tant qu’agriculteur ne fait ici pas sens, dans la mesure où d’une part, une CT [réd. : capacité de travail] supérieure est considérée dans une activité adaptée (qui a toujours été considérée comme exigible depuis l’octroi de la première décision), et que les experts considèrent que celle-ci remonte à environ 2-3 ans. S’agissant du RS [réd. : revenu sans invalidité], il s’agit d’indexer le revenu retenu en 2013 et qui serait pour 2023 de Sfr. 76'575.-- ((72423/2204*2305) + 1.10%). S’agissant du RI [réd. : revenu d’invalide] : Sfr. 66'748.20 […] Selon cette approche, le préjudice atteindrait 12.83 % […] d) On peut concéder à l’intimé que le chiffre d’affaires réalisé par le recourant a fluctué à la hausse durant les quelques années précédant la décision litigieuse, au point d’excéder le revenu d’invalide théorique fixé initialement à 28'089 fr. (valeur 2013 ; cf. rapport du Service de réinsertion professionnelle de l’intimé du 6 mai 2014) à partir de l’année 2019. Il n’est toutefois pas possible, à ce stade, de déterminer dans quelle mesure les bénéfices mis en évidence par l’enquêteur de l’intimé le 31 mai 2023 correspondent effectivement à la prestation de travail déployée par le recourant. On notera d’ailleurs que ce dernier a souligné avoir recours à l’assistance de son épouse sur son domaine agricole, depuis son mariage intervenu en 2019. Or l’intimé n’a procédé à aucun examen de la nature de cette aide et de la contreprestation financière qui lui correspondrait. Font également défaut, en l’occurrence, une description précise de l’exploitation agricole du recourant et des champs d’activités impliqués dans son bon fonctionnement, le total des heures de travail consacrées quotidiennement à l’exploitation, ainsi que la nature exacte des activités déployées par le recourant, respectivement par son épouse. Ce n’est qu’une fois ces éléments recueillis qu’il sera possible de chiffrer précisément le revenu concrètement imputable au recourant dans son exploitation agricole, en s’inspirant éventuellement de la méthode extraordinaire d’évaluation de l’invalidité (cf. consid. 7b supra ), et de mettre à jour le revenu d’invalide déterminant pour procéder à une comparaison des revenus conforme aux exigences de l’art. 16 LPGA. 11.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4 ème éd., 2020, n° 17 et 29 ad art. 43 LPGA). c) Le juge des assurances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des lacunes du dossier du recourant sur le plan économique, la Cour de céans n’est pas en mesure de se prononcer sur la réalisation d’un motif de révision de son droit à la rente. Il se justifie par conséquent de renvoyer la cause à l’intimé afin qu’il procède, après actualisation des pièces comptables, à une enquête détaillée relative à l’exploitation agricole du recourant (cf. consid. 10d supra ). Il appartiendra à l’intimé, dans ce contexte, de déterminer le revenu d’invalide concrètement réalisé par le recourant et d’effectuer une nouvelle comparaison des revenus conforme à l’art. 16 LPGA. 12. a) Sur le vu de ce qui précède, le recours doit être admis et la décision de l’intimé du 29 novembre 2023 annulée, la cause lui étant renvoyée dans le sens des considérants.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Le recourant, obtenant gain de cause, mais n’étant pas assisté d'un mandataire professionnel, n’a pas droit à des dépens (art. 55 al. 1 LPA-VD, applicable sur renvoi de l’art. 99 LPA-VD, et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