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526 vom 23. Juli 2024</w:t>
      </w:r>
    </w:p>
    <w:p>
      <w:r>
        <w:t>VD Tribunal cantonal, 2024-07-23, FR</w:t>
      </w:r>
    </w:p>
    <w:p>
      <w:r>
        <w:rPr>
          <w:b/>
        </w:rPr>
        <w:t xml:space="preserve">Quelle: </w:t>
      </w:r>
      <w:r>
        <w:t>https://mcp.opencaselaw.ch/entscheid/vd_findinfo_Arr_t___2024___526</w:t>
      </w:r>
    </w:p>
    <w:p>
      <w:r>
        <w:t>FR: VD_FINDINFO Arrêt / 2024 / 526 du 23 juillet 2024</w:t>
      </w:r>
    </w:p>
    <w:p>
      <w:r>
        <w:t>IT: VD_FINDINFO Arrêt / 2024 / 526 del 23 luglio 2024</w:t>
      </w:r>
    </w:p>
    <w:p>
      <w:pPr>
        <w:pStyle w:val="Heading2"/>
      </w:pPr>
      <w:r>
        <w:t>Regeste</w:t>
      </w:r>
    </w:p>
    <w:p>
      <w:r>
        <w:t>AFFECTION PSYCHIQUE, ADMISSION DE LA DEMANDE, EXPERTISE PSYCHIATRIQUE, RENTE D'INVALIDITÉ, LIBRE APPRÉCIATION DES PREUVES, LOI FÉDÉRALE SUR L'ASSURANCE-INVALIDITÉ | 4 al. 1 LAI, 6 LPGA, 61 let. c LPGA, 7 LPGA, 8 al. 1 LPGA</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des prestations de l’assurance-invalidité à la suite de sa demande de prestations déposée le 11 septembre 2019.</w:t>
      </w:r>
    </w:p>
    <w:p>
      <w:r>
        <w:rPr>
          <w:b/>
        </w:rPr>
        <w:t>E. 3</w:t>
      </w:r>
    </w:p>
    <w:p>
      <w:r>
        <w:t>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la recourante a déposé sa demande de prestations AI le 11 septembre 2019, invoquant une incapacité totale de travail depuis 2014, si bien qu’elle pourrait prétendre à une rente d’invalidité au plus tôt à compter du 1 er mars 2020 (art. 29 al. 1 et 3 LAI). L’ancien droit demeure donc applicable au cas d’espèce.</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7</w:t>
      </w:r>
    </w:p>
    <w:p>
      <w:r>
        <w:t>a) En l’espèce, il ressort du dossier que la recourante présente des troubles d’ordre neuropsychologique et une symptomatologie anxieuse ainsi qu’en lien avec la consommation abusive d’alcool. Dans sa décision du 30 mars 2022, l’intimé s’est fondé sur le rapport d’expertise du 6 décembre 2021 du Dr V.________, qu’elle qualifiait de probant, pour retenir que la recourante ne présentait pas d’atteinte invalidante et que sa capacité de travail était entière dans toute activité depuis 2014, hormis durant les hospitalisations où la capacité de travail était nulle. Selon cet expert, l’atteinte de la recourante était légère et sans répercussion uniforme sur les activités du quotidien. Les ressources étaient présentes et mobilisables et la vie sociale était réduite mais sans isolement total. Le suivi était très espacé, sans traitement médicamenteux et sans hospitalisation psychiatrique. b) Toutefois, force est de constater que l’expertise du Dr V.________ ne permettait pas à la Cour de céans de se prononcer sur la capacité de travail de la recourante sur le plan psychiatrique. En effet, l’expertise comportait plusieurs lacunes, respectivement des points difficilement compréhensibles. A cet égard, il convient tout d’abord de relever l’absence de discussion structurée et étayée des diagnostics, de sorte qu’il n’était pas possible, à la lecture de l’expertise, de comprendre les raisons ayant conduit le Dr V.________ à retenir ou écarter un diagnostic plutôt qu’un autre. De plus, le Dr V.________ ne s’est pas entretenu avec les différents psychiatres traitants de la recourante, alors même qu’il s’écartait en partie des diagnostics qu’ils avaient posés, et que son évaluation de la capacité de travail de la recourante était diamétralement opposée à la leur. C’est d’autant plus regrettable que l’expert, à l’inverse des psychiatres traitants, a uniquement retenu l’existence d’une « phobie sociale légère, car la recourante sort[ait] seule sans difficulté », assertion qui était en contradiction avec l’anamnèse personnelle et médicale décrite par les psychiatres traitants, lesquels faisaient état d’une forte anxiété avec agoraphobie et de crises d’angoisses persistantes, ce qui se manifestait par une difficulté pour la recourante de sortir de chez elle, spécialement lorsqu’elle devait se rendre en des endroits inhabituels, l’évitement de certaines situations, une volonté d’écourter ses sorties, d’annuler ses rendez-vous à l’extérieur ou encore d’emprunter toujours le même chemin lorsqu’elle promenait son chien ; qui plus est, il ressort de l’expertise que la recourante s’est rendue aux entretiens d’expertise en train, accompagnée d’une amie proche. Compte tenu de ces éléments, il aurait également été souhaitable que le Dr V.________ discute des raisons médicales qui auraient pu expliquer que la recourante a, à plusieurs reprises, reporté le second rendez-vous d’expertise, lequel a finalement eu lieu le 3 décembre 2021. Aussi, en tant qu’il ressort des rapports des psychiatres traitants que la recourante était globalement en mesure de gérer son quotidien grâce à une routine relativement prononcée, le raisonnement du Dr V.________, consistant à nier certains diagnostics ou leur répercussion sur la capacité de travail de la recourante, du fait que la recourante arrivait à gérer son quotidien sans limitations, apparait léger, voire difficilement compréhensible. Dans ce contexte, un tel constat ne permet au demeurant pas de déduire quoi que ce soit concernant la capacité de travail de la recourante, encore moins dans son ancienne activité de déléguée commerciale, qui impliquait notamment des déplacements et des contacts avec la clientèle. En outre, le Dr V.________ a omis de relever qu’un suivi psychologique bimensuel avait été mis en place, en sus du suivi psychiatrique dispensé tous les quatre mois. Enfin, on peut encore observer que le Dr V.________ n’a pas non plus procédé à des tests neuropsychologiques, quand bien même le rapport d’expertise était cosigné par K.________, psychologue et psychothérapeute. c) En dépit de ces divers éléments, l’intimé, dans ses déterminations du 21 février 2024, a continué à soutenir que l’expertise du Dr V.________ revêtait une pleine valeur probante. Dans ce contexte, il se justifiait de mettre en œuvre une expertise judiciaire psychiatrique. Cela étant, il n’y a pas lieu de s’écarter des conclusions convaincantes de l’expertise judiciaire psychiatrique et de son complément réalisés par les Dres J.________ et P.________, lesquels remplissent les réquisits jurisprudentiels pour se voir reconnaître une pleine valeur probante. aa) Sur le plan formel, la Cour de céans constate que les expertes, toutes deux spécialistes en psychiatrie et psychothérapie, ont rendu leur rapport sur la base d’une anamnèse circonstanciée (personnelle, familiale, professionnelle, sociale et affective), en tenant compte de l’ensemble de la documentation médicale au dossier, des plaintes exprimées par la recourante, de ses antécédents, du déroulement de sa journée-type (activités quotidiennes, vie sociale et loisirs) et de son traitement médicamenteux et psychiatrique). Elles ont également procédé à un examen clinique détaillé, rencontrant la recourante à trois reprises (dont une fois en présence de la Dre J.________). Les expertes se sont d’ailleurs heurtées à plusieurs difficultés lors des entretiens. Par exemple, la recourante ne voulait pas aborder des sujets qui soulevaient trop d’émotions, sans pour autant parvenir à décrire pourquoi. Face à l’insistance des examinatrices, elle faisait preuve d’irritabilité, d’impatience et d’impulsivité, à tel point qu’elle a tenu à arrêter le premier entretien. Les examinatrices ont dès lors dû prendre garde à ne pas confronter inutilement la recourante lors des entretiens suivants au point de ne plus vouloir collaborer à l’investigation. De plus, ayant constaté un probable déficit cognitif (notamment des troubles de la mémoire et un fléchissement des fonctions exécutives) lors d’une évaluation cognitive de dépistage (test de MoCA), les expertes ont décidé de mandater N.________, psychologue, spécialiste en neuropsychologie, afin de réaliser une évaluation neuropsychologique complète et spécialisée. Elles se sont de surcroît entretenues téléphoniquement avec le médecin-traitant de la recourante, le Dr C.________, avec la Dre X.________, psychiatre traitante de la recourante, avec B.________, infirmier indépendant en psychiatrie auprès de la recourante et avec Z.________, assistante sociale au Centre social régional (CSR) de [...]. Les conclusions des expertes, prises sur la base d’une description claire du contexte médical, sont dûment motivées, claires et exemptes de contradiction. Elles ont été en mesure de discuter en détail les diagnostics retenus et leurs effets sur la capacité de travail de la recourante et d’expliquer les raisons justifiant de s’écarter de l’appréciation du Dr V.________, et exclu d’autres diagnostics susceptibles d’entrer en ligne de compte. bb) D’un point de vue matériel, les expertes ont tout d’abord posé le diagnostic de trouble neuropsychologique au moins moyen dans le cadre d’un déficit cognitif persistant de survenue tardive, induit par l’alcool et possiblement dans le cadre d’un trouble mental organique dû à une affection physique sans précision ; elles ont indiqué que la recourante s’approchait d’une démence au sens strict mais qu’elle ne remplissait pas encore véritablement les critères d’un tel diagnostic, la recourante ne présentant pas de perte d’autonomie dans sa vie quotidienne. Les expertes ont estimé qu’il était nécessaire de réaliser un bilan somatique complémentaire pour clarifier la ou les causes de cette atteinte cognitive, comprenant notamment un bilan sanguin élargi et une IRM cérébrale, voire une ponction lombaire, ce qui sortait toutefois du cadre de la présente expertise et n’en changerait pas les conclusions. En effet, sur le plan clinique, une origine multifactorielle était plausible et comprenait très probablement, au premier plan, une composante toxique en lien avec une consommation d’alcool excessive de longue date, une composante psychiatrique plus modeste entrant également en considération, en lien avec le trouble de la personnalité et le trouble anxieux. Les expertes ont poursuivi en indiquant qu’une atteinte aux fonctions cognitives avait toujours un impact sur les modalités relationnelles des personnes qui en souffraient et que cet impact pouvait se manifester tant par des symptômes psychologiques (anxiété, dépression, psychose) que par des troubles du comportement (apathie, agitation, agressivité). Concernant le cas de la recourante, elles ont expliqué que l’atteinte comportait notamment une altération de la cognition sociale, ce qui se traduisait par une difficulté de reconnaissance faciale à contenu émotionnel. La perception de ses propres limitations et de ses fragilités pouvait amener la personne à éprouver de la détresse, de l’anxiété ou du désespoir. L’objectif d’abstinence durable ou d’engagement psychothérapeutique étaient des démarches qui nécessitaient une flexibilité mentale dont la recourante ne disposait plus actuellement. S’agissant du diagnostic de trouble mental et de comportement en lien avec l’utilisation d’alcool, utilisation actuelle, les expertes ont retenu une consommation abusive d’alcool qu’à partir du milieu des années 2000, reconnue par la recourante, avec impact de sa consommation sur son éprouvé ou sur son contexte de vie qu’à partir de 2010. L’aggravation était liée à la consommation abusive d’alcool de son compagnon ainsi qu’au départ de la fille de son compagnon en mai 2010 pour rejoindre sa mère sortie de prison, puis en raison de violences conjugales subies, la décision de son compagnon de se séparer d’elle et enfin l’hospitalisation de sa mère en avril 2023. Ce diagnostic se manifestait notamment par la difficulté que présentait la recourante à contrôler la quantité consommée sur le moment et à la poursuite de cette consommation chronique malgré la survenue de conséquences négatives pour elle. Si la recourante pouvait rapporter certaines périodes de consommations contrôlées, ce qui était aussi attesté par les autres intervenants, celles-ci ne duraient souvent tout au plus que quelques mois et étaient émaillées de reprises de consommation excessives ponctuelles de quelques jours ou quelques semaines avant que la recourante ne se retrouvât à nouveau dans une période plus prolongée de consommation abusive d’alcool. Dans leur complément d’expertise (p. 8), les expertes ont rappelé que la recourante présentait une anamnèse de dépendance de longue date à l’alcool et une atteinte neurocognitive significative, dont le tableau touchait les fonctions exécutives, attentionnelles et de mémoire, ce qui renvoyait prioritairement à une probable étiologie toxique alcoolique ; les altérations cognitives objectivées par la neuropsychologue N.________ étaient bien supérieures à ce que l’on pourrait attendre à trouver si elles étaient uniquement dues aux comorbidités psychiatriques diagnostiquées (trouble anxieux et trouble de la personnalité). Les répercussions fonctionnelles de cette dépendance à l’alcool étaient graves en raison d’une altération significative des compétences cognitives de la recourante et par une majoration de son trouble anxieux durant les périodes de consommations abusives. Cette atteinte neurocognitive venait clairement altérer les ressources psychiques de l’intéressée pour élaborer ses troubles et développer des stratégies qui limiteraient l’atteinte à la santé, et ce y compris sur le plan addictologique. Ainsi consommait-elle de l’alcool pour « se détendre », en lien avec son trouble anxieux de base, alors que cette consommation, régulièrement abusive, contribuait à la majoration de son trouble anxieux et empêchait une potentielle récupération de ses fonctions cognitives altérées, lesquelles limitaient les capacités de l’intéressée de tirer des bénéfices des soins qu’elle allait pourtant activement chercher (cf. complément d’expertise, p. 8). Concernant le diagnostic d’agoraphobie avec trouble panique, les expertes ont relevé que l’épisode de crainte de la mort soudaine et imminente par infarctus avait renvoyé la recourante au décès de son père lorsqu’elle avait 20 ans. Cela a évolué vers une crainte majeure à être seule à l’extérieur de son domicile, à utiliser son propre véhicule ou à se rendre dans les magasins ou dans un espace clos (ascenseur, IRM) par crainte d’éprouver une crise d’angoisse loin de tout refuge. Elle utilisait des stratagèmes d’évitement des situations phobogènes en restreignant de plus en plus son périmètre de vie, au point de renoncer à conduire son véhicule, de se rendre toujours dans les mêmes magasins à proximité de chez elle et de ne plus parvenir à modifier la balade qu’elle faisait avec son chien autrement qu’en changeant de sens. Même dans les lieux publics familiers, elle pouvait être saisie d’angoisses soudaines, se mettant alors à marcher énergiquement dans le lieu où elle se trouvait pour faire passer la crise, comme le lui avait appris les soignants, voire à rentrer chez elle si cette technique ne fonctionnait pas (cf. complément expertise p. 4, 2 e paragraphe). En définitive, il s’agissait d’une restriction croissante de son périmètre de vie que ses angoisses récurrentes lui imposaient pour éviter tout imprévu (cf. complément rapport expertise, p. 6). Aussi, les expertes J.________ et P.________ ont clairement expliqué pour quels motifs on ne saurait considérer l’irrégularité de la recourante aux entretiens thérapeutiques comme la preuve de la bénignité de son atteinte psychique, contrairement aux indications du SMR et de l’absence de discussion à ce sujet de l’expert V.________. En effet, il s’agissait au contraire d’indices en faveur d’une potentielle gravité de l’atteinte psychique. Par ailleurs, lorsque l’expert V.________ a déclaré qu’il n'avait pas observé de symptômes anxieux, les expertes ont formulé l’hypothèse que les anxiolytiques pris juste avant l’entretien avaient permis de contenir lesdits symptômes. Pour finir, elles ont également critiqué l’affirmation, non étayée, du Dr V.________, selon laquelle les entretiens menés avaient uniquement révélé la présence d’une « phobie sociale légère, car la recourante sort seule sans difficulté », alors même que la recourante avait eu de grandes difficultés à se rendre au second entretien agendé auprès de cet expert. Enfin, les expertes ont également retenu les diagnostics de trouble de la personnalité dépendante et de trouble dépressif récurrent, actuellement en rémission, tous deux sans répercussion sur la capacité de travail. Compte tenu de ce qui précède, les expertes J.________ et P.________ ont considéré que la recourante présentait une constellation de problématiques psychiatriques dont l’évolution au fil des quinze dernières années avait malheureusement altéré très significativement ses ressources adaptatives et qu’elle se trouvait aujourd’hui démunie pour atténuer l’impact de ses troubles sur sa personne ou sur son existence. Le trouble cognitif avéré que présentait la recourante, quelle que soit son origine, impliquait que la capacité fonctionnelle de celle-ci était significativement limitée au quotidien et de manière accrue dans une activité professionnelle ou des activités complexes. Les fonctions atteintes prioritairement, à savoir les domaines de l’attention, des fonctions exécutives et de la mémoire du travail, étaient des fonctions cognitives indispensables à l’apprentissage de la nouveauté et au maintien d’une flexibilité mentale qui permettaient une adaptation aux situations changeantes. Dans le cadre de la vie privée, ce déficit cognitif se matérialisait par des habitudes empreintes de routine, avec un désintérêt et un manque de motivation à élargir son périmètre de vie, d’investir de nouveaux loisirs et de nouveaux espaces sociaux. Sur le plan professionnel, il se manifestait par des difficultés à l’apprentissage de la nouveauté. Ce déficit cognitif, en particulier relatif aux fonctions exécutives, essentielles pour parvenir à modifier un comportement problématique, venait en outre compliquer son trouble anxieux préexistant et altérer ses ressources à tirer un bénéfice des suivis psychiatriques et psychothérapeutiques qu’elle entreprenait, y compris ceux visant à limiter sa consommation d’alcool. Les ressources de son environnement, qui se résumaient à sa mère, qui souffrait d’une maladie d’Alzheimer et qui était en attente de placement en EMS, et à son ex-compagnon, qui présentait lui-même une problématique de consommation abusive d’alcool, ne pouvaient être considérés comme un soutien à un projet d’abstinence (cf. complément d’expertise p. 9). Les expertes ont également souligné la méconnaissance de l’expert V.________ de l’atteinte cognitive de la recourante ce qui l’avait amené à interpréter faussement la difficulté de la recourante à s’inscrire dans un traitement psychiatrique pourtant bien conduit ou les ressources dont elle disposait pour affronter le quotidien au-delà de son périmètre de vie très restreint. Elles ont par ailleurs expliqué pour quels motifs le test des matrices de Raven réalisé par l’expert V.________ n’était pas suffisant pour mettre en évidence l’atteinte des fonctions cognitives que présentait la recourante. cc) En définitive, les expertes J.________ et P.________, sur la base de l’examen détaillé des indicateurs jurisprudentiels, parviennent à la conclusion que la recourante présente une dépendance de longue date à l’alcool et une atteinte neurocognitive significative, dont le tableau touchant les fonctions exécutives, attentionnelles et de la mémoire, renvoie prioritairement à une probable étiologie toxique alcoolique. Les répercussions fonctionnelles de cette dépendance à l’alcool sont qualifiées de graves, entraînant une altération significative des compétences cognitives de la recourante et une majoration du trouble anxieux dans les périodes de consommations abusives. Cette atteinte cognitive altère les ressources psychiques de la recourante pour élaborer ses troubles et développer des stratégies pour limiter l’atteinte à la santé, y compris sur le plan addictologique. S’il n’est pas contesté que la recourante recherche de l’aide, elle ne « parvient pas à exploiter cette aide au-delà de quelques comportements simples qu’elle peut mettre en œuvre pour limiter ses angoisses (marcher rapidement, faire des mandalas, rentrer à son domicile) et, à ses dires, une meilleure limitation quantitative de ses abus d’alcool ». Ces éléments sont suffisamment graves au point de générer une invalidité. En définitive, elles estiment que la capacité de travail de l’intéressée est nulle à tout le moins depuis le mois de mai 2018 en se fondant sur la description clinique faite par les intervenants de l’équipe mobile de psychiatrie et de la Fondation S.________ et depuis le 16 août 2018 selon les arrêts de travail rédigés par le Dr C.________. Cette évaluation de la capacité totale de travail retenue par les expertes judiciaires, reposant sur des investigations complètes et minutieuses, apparaît au demeurant cohérente avec l’anamnèse personnelle, médicale et professionnelle de la recourante. C’est d’autant plus vrai qu’il apparaît, au vu de l’analyse globale du dossier, qu’il existe une réelle interdépendance dans les diagnostics posés, la consommation d’alcool étant à la fois la cause et la conséquence de ses troubles anxieux, consommation que la recourante est incapable de reconnaître comme néfaste compte tenu de ses troubles cognitifs, dont l’étiologie est vraisemblablement dû, en tout en cas en partie, à la consommation d’alcool et aux troubles anxieux. Il convient dès lors d’accorder une pleine valeur probante à l’expertise du 26 juin 2023 des Dres J.________ et P.________ et au rapport de la neuropsychologue N.________ du 12 mai 2023, ainsi qu’à leur complément respectif. dd) Pour le reste, l’avis SMR du 6 février 2024 ne permet pas de remettre en cause les conclusions des expertes. Tout d’abord, les diagnostics retenus et leur évaluation de la capacité de travail ont été motivés de manière convaincante, relevant en particulier les interactions entre les troubles cognitifs établis par la neuropsychologue et les diagnostics du registre psychiatrique qu’elles ont retenus. Il convient ensuite de relever que des difficultés d’attention, de mémorisation et de concentration ont déjà été constatées par la Dre L.________ et E.________, dans leur rapport du 10 juin 2021, ce qui rend d’autant plus crédible les résultats de l’évaluation neuropsychologique. De plus, non seulement il est erroné d’affirmer que le diagnostic d’agoraphobie avec trouble panique n’a jamais été mentionné dans le dossier auparavant (cf. rapport du 13 novembre 2019 du Dr C.________ et du 23 mars 2020 et 10 juin 2021 de la Dre L.________ et E.________), mais un tel argument n’est de surcroît pas pertinent, la désignation d’un expert ayant précisément pour but de renseigner celui qui le mandate sur des questions exigeant des compétences spéciales, ce qui inclut de facto la faculté de s’écarter des avis émis par d’autres spécialistes. En outre, il n’est pas contesté par les expertes, ni d’ailleurs par la recourante, que cette dernière pouvait effectuer ses tâches quotidiennes de manière autonome. Cela étant, en tant que le quotidien de la recourante est empreint d’habitudes routinières particulièrement marquées afin d’éviter des angoisses, il ne saurait être représentatif de sa capacité d’exercer une activité lucrative sur le marché primaire de l’emploi, lequel est exigeant et nécessite indubitablement des déplacements, des contacts sociaux et des facultés d’adaptation, ce dont la recourante ne dispose plus. Ainsi, l’exercice d’une activité, même impliquant peu de rapports sociaux comme le propose l’intimé, n’apparaît pas exigible. Quant aux critiques du SMR relatives au déroulement de l’examen neuropsychologique, il convient de relever que la psychologue a noté l’absence de signe d’imprégnation alcoolique lors des séances d’évaluation neuropsychologique (cf. compléments neuropsychologiques, réponse au point 6). Quoi qu’il en soit, la question de l’alcoolisation est une problématique centrale dans la symptomatologie de la recourante, si bien qu’elle a dûment été prise en compte par les expertes et la neuropsychologue. Enfin, bien que la Dre Q.________ a discuté du dossier avec un collègue psychiatre, il n’en demeure pas moins que l’avis de ce dernier ne saurait se substituer à une expertise complète répondant aux réquisits jurisprudentiels. Par conséquent, il y a lieu de se référer à l’évaluation de la capacité de travail opérée par les expertes J.________ et P.________ et de retenir que la recourante dispose d’une capacité de travail nulle dans toute activité à tout le moins dès le mois de mai 2018.</w:t>
      </w:r>
    </w:p>
    <w:p>
      <w:r>
        <w:rPr>
          <w:b/>
        </w:rPr>
        <w:t>E. 8</w:t>
      </w:r>
    </w:p>
    <w:p>
      <w:r>
        <w:t>a) En définitive, vu la demande qu’elle a déposée le 11 septembre 2019, la recourante a droit à une rente entière d’invalidité dès le 1 er mars 2020, compte tenu d’un délai de carence de six mois à compter du dépôt de la demande (art. 29 al. 1 LAI). b) La procédure de recours en matière de contestations portant sur des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à la charge de la partie intimée. Cette indemnité couvre au moins ce qui aurait dû être versée au titre de l’assistance judiciaire, étant rappelé à la recourante que par courrier du 30 janvier 2023, [...], l’ancien mandataire de l’intéressée, avait également produit un résumé chiffré de l’activité déployée dans cette affaire, dans l’éventualité où des dépens seraient accordés.</w:t>
      </w:r>
    </w:p>
    <w:p>
      <w:r>
        <w:rPr>
          <w:b/>
        </w:rPr>
        <w:t>E. 9</w:t>
      </w:r>
    </w:p>
    <w:p>
      <w:r>
        <w:t>Reste à déterminer s’il se justifie de mettre les frais de l’expertise judiciaire à la charge de l’office intimé. a) Selon la jurisprudence, les frais d'expertise font partie des frais de procédure (cf. TF 9C_13/2012 du 20 août 2012 consid. 3, in SVR 2013 IV n° 1 p. 1 ; TF 8C_984/2012 du 6 juin 2013 consid. 3). Aux termes de l'art. 45 al. 1 LPGA, les frais de l'instruction sont pris en charge par l'assureur qui a ordonné les mesures ; à défaut, l'assureur rembourse les frais occasionnés par les mesures indispensables à l'appréciation du cas ou comprises dans les prestations accordées ultérieurement. Dans un arrêt ATF 137 V 210, le Tribunal fédéral a considéré que lorsque le tribunal cantonal des assurances constate qu'une instruction est nécessaire, il doit en principe mettre lui-même une expertise en œuvre (consid. 4.4.1.3 et 4.4.1.4). Les frais d'expertise peuvent ainsi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 TF 8C_251/2016 du</w:t>
      </w:r>
    </w:p>
    <w:p>
      <w:r>
        <w:rPr>
          <w:b/>
        </w:rPr>
        <w:t>E. 10</w:t>
      </w:r>
    </w:p>
    <w:p>
      <w:r>
        <w:t>avril 2017 consid. 7).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(TF 8C_251/2016 du 10 avril 2017 consid. 7). b) En l’occurrence, la Cour de céans s’est vu contrainte de mettre en œuvre une expertise judiciaire auprès des Dres J.________ et P.________ en raison des nombreuses lacunes de l’expertise réalisée par le Dr V.________ (cf. supra consid. 7b). Dans ces conditions, il se justifie de mettre à la charge de l’intimé la totalité des frais qui ont été nécessaires à la mise en œuvre de l’expertise judiciaire, y compris l’évaluation neuropsychologique et leur complément respectif, soit un total de 13'888 fr. 65 (9'480 fr. + 1'615 fr. 10 + 2'250 fr. + 543 fr. 55) conformément aux notes d’honoraires produites par les Dres J.________ et P.________ ainsi que par N.________.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