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50 vom 30. Januar 2024</w:t>
      </w:r>
    </w:p>
    <w:p>
      <w:r>
        <w:t>VD Tribunal cantonal, 2024-01-30, FR</w:t>
      </w:r>
    </w:p>
    <w:p>
      <w:r>
        <w:rPr>
          <w:b/>
        </w:rPr>
        <w:t xml:space="preserve">Quelle: </w:t>
      </w:r>
      <w:r>
        <w:t>https://mcp.opencaselaw.ch/entscheid/vd_findinfo_Arr_t___2024___50</w:t>
      </w:r>
    </w:p>
    <w:p>
      <w:r>
        <w:t>FR: VD_FINDINFO Arrêt / 2024 / 50 du 30 janvier 2024</w:t>
      </w:r>
    </w:p>
    <w:p>
      <w:r>
        <w:t>IT: VD_FINDINFO Arrêt / 2024 / 50 del 30 gennaio 2024</w:t>
      </w:r>
    </w:p>
    <w:p>
      <w:pPr>
        <w:pStyle w:val="Heading2"/>
      </w:pPr>
      <w:r>
        <w:t>Regeste</w:t>
      </w:r>
    </w:p>
    <w:p>
      <w:r>
        <w:t>CURATELLE DE COOPÉRATION | 396 CC</w:t>
      </w:r>
    </w:p>
    <w:p>
      <w:pPr>
        <w:pStyle w:val="Heading2"/>
      </w:pPr>
      <w:r>
        <w:t>Erwägungen</w:t>
      </w:r>
    </w:p>
    <w:p>
      <w:r>
        <w:rPr>
          <w:b/>
        </w:rPr>
        <w:t>E. 1.1</w:t>
      </w:r>
    </w:p>
    <w:p>
      <w:r>
        <w:t>Le recours est dirigé contre une décision de l’autorité de protection élargissant notamment le mandat de curatelle de coopération précédemment institué en faveur de la personne concernée.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[ci-après : Basler Kommentar], 7 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1.3</w:t>
      </w:r>
    </w:p>
    <w:p>
      <w:r>
        <w:t>En l’espèce, le recours a été interjeté en temps utile par la personne concernée. Dès lors que le recours tend essentiellement à la levée de la curatelle de coopération et à l’annulation de son élargissement, soit qu’il porte sur des droits strictement personnels au sens de l’art. 19c al. 1 CC, le présent recours n’avait pas à être ratifié par le curateur, de sorte que le recourant a qualité pour recourir en personne (TF 5A_750/2022 du 21 décembre 2022 consid. 1.4). Le recours étant manifestement mal fondé au vu des considérations développées ci-après, il a été renoncé à consulter l’autorité de protection et le curateur n’a pas été invité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Bien que cité à comparaître à l’audience du 21 février 2023, O.________ ne s’est pas présenté. Il n’a pas non plus donné suite au courrier du 8 mai 2023 de l’autorité de protection l’invitant à se déterminer sur une éventuelle extension des tâches du curateur dans le cadre de la curatelle de coopération. Partant, il y a lieu de considérer que le droit d’être entendu du recourant a été respecté, à plus forte raison qu’il a eu l’occasion d’exposer ses griefs par écrit auprès de la Chambre des curatelles qui a un plein pouvoir d’examen. La décision entreprise est donc formellement correcte et peut être examinée sur le fond.</w:t>
      </w:r>
    </w:p>
    <w:p>
      <w:r>
        <w:rPr>
          <w:b/>
        </w:rPr>
        <w:t>E. 3.1</w:t>
      </w:r>
    </w:p>
    <w:p>
      <w:r>
        <w:t>et les références citées).</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2 e éd., Genève/Zurich 2022, nn. 719, pp.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Commentaire du droit de la famille [CommFam], Protection de l’adulte, Berne 2013, nn. 16-17,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Basler Kommentar, op. cit., n. 14 ad art. 390 CC, p. 2419).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s’agit d’affaires essentielles pour la personne concernée, de sorte que les difficultés constatées ont pour elle des conséquences importantes. Bien que la loi ne le précise pas, il peut s’agit d’intérêts patrimoniaux et/ou personnels, respectivement de soucis de représentation juridique (TF 5A_551/2021 du 7 décembre 2021 consid. 4.1.1 ; Meier, Droit de la protection de l’adulte, op. cit., n. 729, p. 403 ; Guide pratique COPMA 2012, op.cit., n. 5.10, p. 138).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5A_417/2018 du 17 octobre 2019 consid. 4.2.1, in SJ 2019 I 127 ; TF 5A_844/2017 du 15 mai 2018 consid.</w:t>
      </w:r>
    </w:p>
    <w:p>
      <w:r>
        <w:rPr>
          <w:b/>
        </w:rPr>
        <w:t>E. 3.2.2</w:t>
      </w:r>
    </w:p>
    <w:p>
      <w:r>
        <w:t>Parmi les différents types de curatelle existants, l’autorité de protection doit choisir celui qui répond le plus adéquatement possible aux besoins de la personne concernée et qui entame le moins possible son autonomie (Meier, Droit de la protection de l’adulte, op. cit., n. 38, p. 22). Selon l’art. 396 al. 1 CC, une curatelle de coopération est instituée lorsque, pour sauvegarder les intérêts d’une personne qui a besoin d’aide, il est nécessaire de soumettre certains de ses actes à l’exigence du consentement du curateur, le consentement étant alors une condition de validité de l’acte juridique. Cette curatelle, contrairement à la curatelle d’accompagnement (art. 393 CC), ne requiert pas l’accord de la personne concernée pour être instituée. Par rapport aux actes énumérés dans la décision, la personne sous curatelle de coopération voit sa capacité civile active restreinte. Le rôle du curateur consiste à consentir ou non à un acte que la personne concernée a décidé d’accomplir elle-même, ce consentement pouvant être antérieur, concomitant ou postérieur à l’acte (Meier, Droit de la protection de l’adulte, op. cit., nn. 863 ss, pp. 457 ss ; CCUR 15 octobre 2020/197).</w:t>
      </w:r>
    </w:p>
    <w:p>
      <w:r>
        <w:rPr>
          <w:b/>
        </w:rPr>
        <w:t>E. 3.3.1</w:t>
      </w:r>
    </w:p>
    <w:p>
      <w:r>
        <w:t>En l’espèce, le recourant a déposé devant la justice de paix le 10 octobre 2023, c’est à dire avant la notification de la décision litigieuse, une demande de levée de la curatelle de coopération et l’a retirée le 25 octobre 2023. Malgré ce dernier courrier et dans la mesure où O.________ n’a pas déclaré retirer son recours, celui-ci doit être examiné.</w:t>
      </w:r>
    </w:p>
    <w:p>
      <w:r>
        <w:rPr>
          <w:b/>
        </w:rPr>
        <w:t>E. 3.3.2</w:t>
      </w:r>
    </w:p>
    <w:p>
      <w:r>
        <w:t>En l’état, O.________ souffre d’un trouble de la personnalité paranoïaque durable qui l’amène à entreprendre des démarches judiciaires qui sont contraires à ses intérêts. Depuis l’institution de sa curatelle de coopération le 4 décembre 2019, il n’a cessé de multiplier les plaintes, les recours et les requêtes et cela contre l’avis de son curateur qui doit consentir à tout acte devant les autorités judiciaires. Comme l’atteste les diverses pièces au dossier, il a déposé de nombreux recours devant la Cour des assurances sociales – dont certains ont été déclarés irrecevables faute de ratification du curateur – ainsi auprès de la Cour de droit administratif et public. Surtout, il a saisi à de très nombreuses reprises les autorités administratives vaudoises et en particulier le Grand Conseil pour se plaindre du Procureur général. La conseillère juridique de la DGAIC a d’ailleurs dit craindre une recrudescence des requêtes du recourant pour toutes les procédures où le Ministère public ne rentrerait plus en matière et a informé l’autorité de protection que les frais de ces procédures pourraient être mis à la charge du recourant. Toujours à ce propos, Me Pierre Charpié, à l’audience du 21 février 2023, s’est dit inquiet des demandes en matière administrative que le recourant serait susceptible de déposer, mais surtout des frais qu’il pourrait être condamné à payer par les autorités saisies. Force est ainsi de constater que la situation du recourant ne s’est pas améliorée depuis la décision instituant une curatelle de coopération en sa faveur et qu’il ne cesse de multiplier les procédures, en particulier administratives, en faisant fi des conséquences financières que cela pourrait engendrer si les frais lui étaient imputés (cf. art. 45 ss LPA-VD [Loi vaudoise sur la procédure administrative du 28 octobre 2008, BLV 173.36]). Le recourant fait déjà l’objet d’actes de défaut de biens à hauteur de 50'000 fr., principalement pour des frais d’assistance judiciaire ou des frais de justice, de sorte qu’il y a lieu d’éviter que sa situation se péjore davantage. Il apparaît ainsi que tant la cause que le besoin de protection sont réalisés et que c’est à juste titre que les premiers juges ont maintenu la curatelle de coopération instituée en faveur d’O.________ et ont élargi les tâches du curateur – dont on doit relever les nombreuses démarches qu’il a entreprises depuis 2019 auprès des instances judiciaires – aux actes devant toute autorité administrative de dernière instance. Le fait que le recourant ait été admis à l’école de [...] et qu’il a notamment contesté avec succès une décision de la Direction générale de l’emploi et du marché du travail en 2019 ne change rien à ce constat. S’agissant de son argument en lien avec l’OVAM, l’intéressé n’a rien produit en ce sens. De plus, il se méprend sur la portée de l’arrêt 5A_750/2022 : le fait qu’il ait la qualité pour recourir dans le cadre d’une décision prononçant une curatelle de coopération en sa faveur découle du fait qu’il exerce un droit strictement personnel et ne signifie pas pour autant qu’il peut agir seul dans le cadre de toutes les procédures judiciaires qui le concernent. Enfin, la conclusion du recourant tendant à ce que les préjudices qu’il dit avoir subis soient réparés est irrecevable, la compétence en la matière ne ressortissant pas de la Chambre des curatelles, mais du juge ordinaire (art. 454 CC).</w:t>
      </w:r>
    </w:p>
    <w:p>
      <w:r>
        <w:rPr>
          <w:b/>
        </w:rPr>
        <w:t>E. 4</w:t>
      </w:r>
    </w:p>
    <w:p>
      <w:r>
        <w:t>TFJC [Tarif du 28 septembre 2010 des frais judiciaires civils ; BLV 270.11.5]). Par ces motifs, la Chambre des curatelles du Tribunal cantonal, statuant à huis clos, prononce : I. Le recours est rejeté dans la mesure de sa recevabilité. II. La décision est confirmée. III. L’arrêt est rendu sans frais judiciaires de deuxième instance. IV. L’arrêt est exécutoire. La juge présidant :              La greffière : Du L'arrêt qui précède, dont la rédaction a été approuvée à huis clos, est notifié à : ‑ O.________, ‑ Me Pierre Charpié,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4.1</w:t>
      </w:r>
    </w:p>
    <w:p>
      <w:r>
        <w:t>En conclusion, le recours est rejeté dans la mesure de sa recevabilité.</w:t>
      </w:r>
    </w:p>
    <w:p>
      <w:r>
        <w:rPr>
          <w:b/>
        </w:rPr>
        <w:t>E. 4.2</w:t>
      </w:r>
    </w:p>
    <w:p>
      <w:r>
        <w:t>En l’occurence, le maintien de la curatelle de coopération et son élargissement aux procédures administratives de dernière instance étaient justifiés au vu de la péjoration de la situation du recourant et des mises en gardes de nombreux intervenants, de sorte qu’un plaideur raisonnable aurait renoncé à agir. Partant, le recours était d'emblée dépourvu de chances de succès et la requête d’assistance judiciaire doit par conséquent être rejetée.</w:t>
      </w:r>
    </w:p>
    <w:p>
      <w:r>
        <w:rPr>
          <w:b/>
        </w:rPr>
        <w:t>E. 4.3</w:t>
      </w:r>
    </w:p>
    <w:p>
      <w:r>
        <w:t>Le présent arrêt peut être rendu sans frais judiciaires (art. 74a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