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456 vom 13. Juni 2024</w:t>
      </w:r>
    </w:p>
    <w:p>
      <w:r>
        <w:t>VD Tribunal cantonal, 2024-06-13, FR</w:t>
      </w:r>
    </w:p>
    <w:p>
      <w:r>
        <w:rPr>
          <w:b/>
        </w:rPr>
        <w:t xml:space="preserve">Quelle: </w:t>
      </w:r>
      <w:r>
        <w:t>https://mcp.opencaselaw.ch/entscheid/vd_findinfo_Arr_t___2024___456</w:t>
      </w:r>
    </w:p>
    <w:p>
      <w:r>
        <w:t>FR: VD_FINDINFO Arrêt / 2024 / 456 du 13 juin 2024</w:t>
      </w:r>
    </w:p>
    <w:p>
      <w:r>
        <w:t>IT: VD_FINDINFO Arrêt / 2024 / 456 del 13 giugno 2024</w:t>
      </w:r>
    </w:p>
    <w:p>
      <w:pPr>
        <w:pStyle w:val="Heading2"/>
      </w:pPr>
      <w:r>
        <w:t>Regeste</w:t>
      </w:r>
    </w:p>
    <w:p>
      <w:r>
        <w:t>NOUVELLE DEMANDE, MODIFICATION DES CIRCONSTANCES, REJET DE LA DEMANDE | 87 al. 2 RAI, 87 al. 3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en l’occurrence sur la question de savoir si l’intimé était fondé à refuser d’entrer en matière sur la nouvelle demande de prestations AI déposée le 28 mars 2022 par le recourant au motif que la situation de celui-ci ne s’était pas notablement modifiée depuis la décision du 2 décembre 2020.</w:t>
      </w:r>
    </w:p>
    <w:p>
      <w:r>
        <w:rPr>
          <w:b/>
        </w:rPr>
        <w:t>E. 3</w:t>
      </w:r>
    </w:p>
    <w:p>
      <w:r>
        <w:t>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la décision litigieuse, rendue le 7 septembre 2022, fait suite à une nouvelle demande de prestations déposée le 28 mars 2022 et s’est fondée sur des rapports somatiques et psychiques établis en 2022. La Cour de céans doit par conséquent tenir compte, s’il y a lieu, du nouveau droit en vigueur depuis le 1 er janvier 2022.</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 109 V 108 consid. 2a ; cf. TF 9C_67/2009 du 22 octobre 2009 consid. 1.2).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c)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(ATF 130 V 64 consid. 5.2.5).</w:t>
      </w:r>
    </w:p>
    <w:p>
      <w:r>
        <w:rPr>
          <w:b/>
        </w:rPr>
        <w:t>E. 4.3</w:t>
      </w:r>
    </w:p>
    <w:p>
      <w:r>
        <w:t>et les références). b) En l’occurrence, la Dre Z.________ a obtenu le titre de médecin en Russie, titre reconnu en Suisse en 2014, et elle a obtenu le titre postgrade de médecin praticien en Suisse en 2014 selon le Registre des professions médicales, dont le recourant a produit un extrait. Ses compétences professionnelles ont ainsi été reconnues, respectivement acquises, en Suisse, et conformément à la jurisprudence, le seul fait que ce médecin ait effectué son cursus à l’étranger n’affecte pas la valeur probante de ses avis (cf. sur ce point TF 8C_606/2016 du 13 décembre 2016 consid. 4.3 et les références citées). En outre, elle ne dispose certes pas d’une autorisation de pratiquer en Suisse, mais une telle autorisation n’est pas nécessaire pour établir des avis médicaux du SMR, puisqu’ils ne requièrent aucun examen clinique. De plus, l’OAI a déjà exposé qu’en vertu de la Convention de collaboration conclue entre l’OAI et le Service de la Santé publique du canton de Vaud, une autorisation de pratiquer en Suisse n’est pas une condition d’exercice au sein du SMR (CASSO AI 148/20 – 30/2023 du 23 janvier 2023). Les critiques du recourant sur ce point tombent donc à faux. Quant au caractère inconsistant de la motivation de la Dre Z.________, force est de constater qu’elle a suivi le recourant depuis 2016 et qu’elle a notamment ordonné la mise en œuvre de l’expertise pluridisciplinaire de sorte qu’elle connaît relativement bien la situation médicale de l’assuré. On rappellera que le rôle du SMR est d’évaluer les conditions médicales en opérant la synthèse de tous les documents médicaux versés au dossier en prodiguant des recommandations quant à la suite à donner au dossier sur le plan médical ce que la Dre Z.________ a en l’occurrence fait, les compétences dévolues au SMR consistant précisément à évaluer l’intégralité du dossier, cas échéant, à comparer deux situations et à juger l’apparition de nouveaux éléments (TF 9C_639/2018 du 3 décembre 2018 consid. 4.1 ; 9C_933/2012 du 16 avril 2013 consid. 4.2).</w:t>
      </w:r>
    </w:p>
    <w:p>
      <w:r>
        <w:rPr>
          <w:b/>
        </w:rPr>
        <w:t>E. 5</w:t>
      </w:r>
    </w:p>
    <w:p>
      <w:r>
        <w:t>A titre liminaire, il convient de traiter le grief du recourant s’agissant de la Dre Z.________ du SMR, celui-ci ayant soutenu que ces avis étaient dénués de toute explication et motivation consistante et que la Dre Z.________ ne disposait pas d’autorisation de pratiquer, ni d’aucune spécialisation utile à son cas. a) En application de l’art. 54 a al. 2 LAI (en vigueur dès le 1 er janvier 2022), l’OAI peut confier au SMR l’appréciation des conditions médicales du droit aux prestations. Le rôle du SMR est ainsi d’évaluer ces conditions médicales, en opérant la synthèse de tous les documents médicaux versés au dossier et en prodiguant des recommandations quant à la suite à donner au dossier sur le plan médical. Il se distingue ainsi d’une expertise (44 LPGA), en tant qu’il ne contient aucune observation clinique, et d’un examen médical au sens de l’art. 49 al. 2 RAI. Le fait qu’un médecin ait effectué son cursus à l’étranger n’est pas un motif pour considérer que ses rapports ou avis sont dénués de valeur probante (TF 8C_606/2016 du 13 décembre 2016 consid.</w:t>
      </w:r>
    </w:p>
    <w:p>
      <w:r>
        <w:rPr>
          <w:b/>
        </w:rPr>
        <w:t>E. 6</w:t>
      </w:r>
    </w:p>
    <w:p>
      <w:r>
        <w:t>a) Dans le cas présent, l’office intimé n’est pas entré en matière sur la quatrième demande de prestations déposée par le recourant le 28 mars 2022. Il n’y a donc pas lieu d’examiner si, entre la décision – entrée en force – du 2 décembre 2020 rejetant la demande de prestations du recourant – dernière décision reposant sur un examen matériel du droit à la rente – et la décision litigieuse du 7 septembre 2022, un changement important des circonstances propres à influencer le degré d’invalidité – et donc le droit à la rente – s’est produit. Il faut au contraire se limiter à examiner si le recourant, dans ses démarches auprès de l’office 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7 septembre 2022 et les circonstances prévalant à l’époque de la décision du 2 décembre 2020, confirmée par la Cour de céans. b) Dans le cadre de l’instruction de la troisième demande de prestations du 16 mars 2018, l’office intimé avait mis en œuvre une expertise pluridisciplinaire auprès de la Policlinique [...]. Dans leur rapport du 17 septembre 2019, les experts avaient retenu les diagnostics de status après décompression C6-C7 avec spondylodèse le 17 mars 2008 (M50.2), de bégaiement (F98.5), de tics faciaux (F95.1), de dysthymie (F34.1) et de majoration de symptômes physiques pour des raisons psychologiques (F68.0) avec rachialgies cervico-dorso-lombaires et douleurs des quatre extrémités, surchargées de troubles sensitivomoteurs hémi-corporels droits, sans substrat neurologique objectivable, et avec troubles attentionnels, dysexécutifs et mnésiques vraisemblablement sans substrat somatique. Les experts avaient expliqué se distancer de l’avis du psychiatre traitant quant au diagnostic de trouble dépressif récurrent en soulignant qu’en l’absence d’antécédent d’épisode dépressif le diagnostic de trouble dépressif récurrent ne pouvait être retenu. Ils avaient également écarté de manière motivée les diagnostics d’anxiété généralisée en l’absence de description d’anxiété flottante et de signes neurovégétatifs et d’état de stress post-traumatique. Le Dr D.________ avait en particulier souligné les incohérences entre les constats des médecins traitants et leurs conclusions. Les experts ont jugé que la capacité de travail était entière en toute activité avec une baisse de rendement de 20 % en raison de la dysthymie qui occasionnait une fatigabilité et une diminution de l’endurance. Le recourant avait de son côté produit un certain nombre de rapports, dont notamment un rapport du 21 janvier 2020 de la Dre I.________ mentionnant que l’état de santé de l’assuré s’était aggravé et que ses douleurs, en augmentation, l’empêchaient de mener une vie normale, notamment par des difficultés à se déplacer en raison de ses douleurs et par des insomnies chroniques. Il avait également transmis un rapport du 28 mars 2019 du Dr G.________ faisant état de troubles du sommeil (l’assuré ne dormant que 2 à 3 heures par nuit) et d’une boiterie, ainsi qu’un rapport du 23 janvier 2020 du Dr S.________ et de la psychologue M.________ faisant état des plaintes majeures de l’assuré, à savoir douleurs, cauchemars, flash-backs, sentiment de désespoir, colère, irritabilité, tristesse, idées hétéro agressives, fatigabilité, isolement social et méfiance à l’égard d’autrui. c) Dans le cadre de la nouvelle demande de prestations du 28 mars 2022, le recourant a fait valoir une aggravation de son état de santé somatique et psychique et produit divers rapports. aa) Sur le plan somatique, le recourant a produit un rapport du 28 juin 2022 du Dr B.________ mentionnant des phénomènes de raclage de fond de gorge importants évoquant une composante de reflux gastro-œsophagien qui aurait, selon le recourant, un fort retentissement sur son sommeil. Or force est de constater que cette problématique de reflux gastrique n’est pas nouvelle et avait déjà été rapportée par le Dr S.________ et la psychologue M.________ dans leur rapport du 23 janvier 2020 tout comme d’ailleurs la problématique des troubles du sommeil dont le recourant se plaint depuis de nombreuses années (cf. rapports des Drs J.________, G.________, I.________ ainsi que du Dr S.________ et de la psychologue M.________ des 4 septembre 2018, 28 mars 2019, 21, 23 janvier et 14 octobre 2020) qui n’est de plus pas améliorée par la mauvaise compliance du port de l’appareillage CPAP rapportée par le Dr B.________. S’agissant du rapport du 15 juillet 2022 du Dr K.________, le recourant a relevé que ce médecin avait constaté une nouvelle atteinte, à savoir un hémisyndrome douloureux hémicorporel droit. Or ce syndrome fait partie du contexte du trouble somatoforme douloureux chronique, comme l’a mentionné le Dr K.________ dans son rapport et ne saurait donc être qualifié de nouveau, le trouble somatoforme douloureux ayant été attesté à de nombreuses reprises (cf. rapports de la psychologue P.________, du Dr J.________, ainsi que du Dr S.________ et de la psychologue M.________ des 22 février et 4 septembre 2018, 23 janvier et 14 octobre 2020). On précisera encore que le Dr K.________ n’a constaté aucun déficit neuropsychologique focal franc évident, le statut neurologique ne révélant pas de déficit évocateur de manière stricte d’une atteinte SNC ou du SNP, ni d’aggravation. bb) Sur le plan psychiatrique, le recourant a allégué, en se fondant sur le rapport du Dr L.________ du 20 avril 2022 faisant état de troubles dégénératifs débutants au niveau du genou, que cette consultation avait fait naître des craintes importantes chez lui par rapport à la dégradation de son état de santé lui causant de l’anxiété (cf. rapport du 11 août 2022 du Dr S.________ et de la psychologue M.________). On constatera cependant que cette douleur est apparue en juin 2020 et a déjà été mentionnée comme source de stress dans le courrier du 14 octobre 2020 du Dr S.________ et de la psychologue M.________. A cet égard, on relèvera qu’une boiterie du recourant a été relevée depuis 2019 déjà (cf. rapport du Dr G.________ du 28 mars 2019). Ensuite, le recourant a fait valoir que les rapports des 28 février et 11 août 2022 du Dr S.________ et de la psychologue M.________ mentionnaient un nouveau diagnostic, à savoir celui de modification de la personnalité liée à un syndrome algique chronique, et décrivaient avec minutie l’aggravation de son état de santé. Si ce diagnostic est en effet nouveau, il n’est toutefois aucunement détaillé ou motivé et il n’y est pas non plus fait mention dans la description de l’aggravation alléguée, de sorte que l’on ne peut y voir le signe d’une modification importante de la situation. De plus, si le Dr S.________ et la psychologue M.________ ont évoqué une aggravation de son état de santé psychologique dans leur rapport du 28 février 2022, force est de constater que les éléments évoqués dans ce rapport pour justifier une aggravation tels que l’anxiété face à l’avenir, la colère et l’injustice, des pleurs à chaque séance, des difficultés à se déplacer, une thymie abaissée, des douleurs en augmentation, des troubles du sommeil et des troubles relationnels péjorés sont des éléments qui se retrouvaient déjà dans leur premier rapport du 23 janvier 2020 qui indiquait comme plaintes majeures du recourant au cours des trois derniers mois : « Douleurs, cauchemars, flash-backs, sentiment de désespoir, colère, irritabilité, tristesse, idées hétéro agressives, fatigabilité, isolement social, méfiance à l’égard d’autrui ». S’agissant de l’augmentation des troubles cognitifs, notamment une baisse de la mémoire à court terme, ces troubles ont déjà été décrits par la psychologue P.________ dans son rapport du 22 février 2018 et ne sauraient être qualifiés d’aggravation de l’état de santé du recourant. On relèvera encore que le Dr S.________ et la psychologue M.________, outre le fait qu’il est admis de jurisprudence constante que le médecin traitant est généralement enclin, en cas de doute, à prendre parti pour son patient en raison de la relation de confiance qui l’unit à ce dernier (ATF 135 V 465 consid. 4.5), se sont essentiellement fondés sur les déclarations du recourant et n’ont pas mis en évidence un élément objectif nouveau probant par rapport à la situation prévalant en 2020. En ce qui concerne leur rapport du 11 août 2022, on constatera que le trouble dépressif n’est plus décrit comme un épisode sévère mais moyen, contredisant à cet égard une aggravation de l’état de santé du recourant. Encore une fois, les éléments évoqués dans le rapport du 11 août 2022 tels qu’un plus grand isolement social et l’aggravation des troubles du sommeil, ne sont pas des éléments propres à rendre plausible une aggravation de l’état de santé du recourant, ces éléments existant déjà par le passé (cf. rapport de la Dre I.________ du 21 janvier 2020, rapport du Dr S.________ et de la psychologue M.________ du 23 janvier 2020) et ayant déjà été évoqués, en vain, comme raison d’une aggravation de l’état de santé du recourant (cf. décision du 2 décembre 2020 confirmée par arrêt du 14 janvier 2022). d) Au vu de ce qui précède, l’office intimé était donc légitimé à retenir que le recourant n’a pas rendu plausible une aggravation notable de son état de santé depuis la décision du 2 décembre 2020. Sa décision de refus d’entrer en matière prononcée le 7 septembre 2022 apparaît donc fondée.</w:t>
      </w:r>
    </w:p>
    <w:p>
      <w:r>
        <w:rPr>
          <w:b/>
        </w:rPr>
        <w:t>E. 7</w:t>
      </w:r>
    </w:p>
    <w:p>
      <w:r>
        <w:t>a) En conclusion, le recours, mal fondé, doit être rejeté et la décision de l’intimé du 7 septembre 2022 confirmée. b) La procédure de recours en matière de contestation portant sur l’octroi ou le refus de prestations de l’assurance-invalidité devant le tribunal cantonal des assurances est soumise à des frais de justice (art. 69 al. 1 bis , première phrase, LAI). En l’espèce, les frais de justice doivent être fixés à 600 fr. et mis à la charge du recourant, qui succombe. Ils sont toutefois provisoirement laissés à la charge de l’Etat, puisqu’il a été mis au bénéfice de l’assistance judiciaire par décision du 24 octobre 2022. c) Il n’y a par ailleurs pas lieu d’allouer de dépens au recourant, qui n’obtient pas gain de cause (art. 61 let. g LPGA). d) La partie recourante bénéficie, au titre de l’assistance judiciaire, de la commission d’office d’un avocat en la personne de Me Duc à compter du 12 octobre 2022, de sorte que ce dernier peut prétendre à l’allocation d’une équitable indemnité pour son mandat d’office.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et de 110 fr. pour un avocat-stagiaire (art. 2 al. 1 let. a et b RAJ). bb)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cc) En l’occurrence, Me Duc a produit le 11 juin 2024 la liste des opérations effectuées pour le compte du recourant. Il a fait état de 4 heures et 15 minutes consacrées à la présente procédure par Luca Zanello, alors avocat-stagiaire. Ainsi, le tarif horaire applicable à Me Zanello s’élève à 110 fr., comme rappelé ci-avant, et non à 180 fr. comme comptabilisé dans la liste des opérations produite. De plus, les débours doivent être fixés forfaitairement à 5 % du défraiement hors taxe (art. 3 bis al. 1 RAJ [règlement cantonal du 7 décembre 2010 sur l’assistance judiciaire en matière civile ; BLV 211.02.3]). Il sied ainsi de ne pas tenir compte des frais d’envois de courriers à raison de 17 fr. 13 figurant dans la liste des opérations, mais d’appliquer le forfait idoine. dd) Ainsi, il convient d’arrêter l’indemnité d’office de Me Duc à 528 fr. 70, débours forfaitaires et TVA à 7,7 % compris [4 h 15 min x 110 = 467 fr. 50 ; 467 fr. 50 + 5 % = 490 fr. 87 ; 490 fr. 87 + 7,7 % = 528 fr. 70]). e) La partie recourante est rendue attentive au fait qu’elle devra rembourser les frais judiciaires et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