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409 vom 2. Mai 2024</w:t>
      </w:r>
    </w:p>
    <w:p>
      <w:r>
        <w:t>VD Tribunal cantonal, 2024-05-02, FR</w:t>
      </w:r>
    </w:p>
    <w:p>
      <w:r>
        <w:rPr>
          <w:b/>
        </w:rPr>
        <w:t xml:space="preserve">Quelle: </w:t>
      </w:r>
      <w:r>
        <w:t>https://mcp.opencaselaw.ch/entscheid/vd_findinfo_Arr_t___2024___409</w:t>
      </w:r>
    </w:p>
    <w:p>
      <w:r>
        <w:t>FR: VD_FINDINFO Arrêt / 2024 / 409 du 2 mai 2024</w:t>
      </w:r>
    </w:p>
    <w:p>
      <w:r>
        <w:t>IT: VD_FINDINFO Arrêt / 2024 / 409 del 2 maggio 2024</w:t>
      </w:r>
    </w:p>
    <w:p>
      <w:pPr>
        <w:pStyle w:val="Heading2"/>
      </w:pPr>
      <w:r>
        <w:t>Regeste</w:t>
      </w:r>
    </w:p>
    <w:p>
      <w:r>
        <w:t>RENTE D'INVALIDITÉ, COMPARAISON DES REVENUS, REVENU SANS INVALIDITÉ, CALCUL, ADMISSION DE LA DEMANDE | 28 LAI, 29 LAI, 16 LPGA</w:t>
      </w:r>
    </w:p>
    <w:p>
      <w:pPr>
        <w:pStyle w:val="Heading2"/>
      </w:pPr>
      <w:r>
        <w:t>Erwägungen</w:t>
      </w:r>
    </w:p>
    <w:p>
      <w:r>
        <w:rPr>
          <w:b/>
        </w:rPr>
        <w:t>E. 1</w:t>
      </w:r>
    </w:p>
    <w:p>
      <w:r>
        <w:t>La Cour des assurances sociales doit statuer à nouveau dans cette affaire à la suite de l’arrêt de renvoi du Tribunal fédéral du 30 novembre 2023.</w:t>
      </w:r>
    </w:p>
    <w:p>
      <w:r>
        <w:rPr>
          <w:b/>
        </w:rPr>
        <w:t>E. 2</w:t>
      </w:r>
    </w:p>
    <w:p>
      <w:r>
        <w:t>a) En vertu du principe de l’autorité de l’arrêt de renvoi du Tribunal fédéral,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voir également TF 8C_3/2022 du 18 janvier 2023 consid. 2.2). b) Dans l’arrêt de renvoi du 30 novembre 2023, le Tribunal fédéral a uniquement examiné la question du revenu sans invalidité, nécessaire à l’évaluation du taux d’invalidité conformément à l’art. 16 LPGA. Cette question était en effet la seule discutée par le recourant dans son recours. Le Tribunal fédéral a considéré que la Cour de céans n’avait pas instruit la question de savoir si le recourant aurait perçu un revenu annuel (brut) de 75'000 fr. en 2020 s’il n’était pas devenu invalide. Il a, partant, annulé l’arrêt cantonal et renvoyé la cause à la Cour de céans pour qu’elle procède à l’administration des preuves nécessaires pour établir de la manière la plus concrète possible le revenu sans invalidité que le recourant aurait perçu en 2020. Après complément d’instruction, la Cour de céans était appelée à rendre un nouvel arrêt sur l’étendue du droit du recourant à une rente de l’assurance-invalidité à compter du 1 er mai 2020. c) Aussi, il n’y a pas lieu d’examiner, dans le cadre du présent arrêt, la question de l’éventuelle survenance en 2021 d’une dégradation de l’état psychique du recourant, faute pour celui-ci d’avoir soulevé ce grief dans le cadre de son recours devant la Cour de céans, respectivement dans le cadre de son recours en matière de droit public devant le Tribunal fédéral, alors qu’il aurait pu et dû le faire. Il convient au contraire de s’en tenir au constat selon lequel le recourant dispose depuis le 1 er novembre 2019 d’une capacité de travail de 50 % dans une activité adaptée à ses limitations fonctionnelles.</w:t>
      </w:r>
    </w:p>
    <w:p>
      <w:r>
        <w:rPr>
          <w:b/>
        </w:rPr>
        <w:t>E. 3</w:t>
      </w:r>
    </w:p>
    <w:p>
      <w:r>
        <w:t>Cela étant précisé, le litige porte désormais uniquement sur l’étendue du droit du recourant à une rente de l’assurance-invalidité dès le 1 er mai 2020, singulièrement sur la question du revenu sans invalidité, nécessaire à l’évaluation du taux d’invalidité conformément à l’art. 16 LPGA.</w:t>
      </w:r>
    </w:p>
    <w:p>
      <w:r>
        <w:rPr>
          <w:b/>
        </w:rPr>
        <w:t>E. 4</w:t>
      </w:r>
    </w:p>
    <w:p>
      <w:r>
        <w:t>a) Pour déterminer le revenu sans invalidité, nécessaire à l’évaluation du taux d’invalidité conformément à l’art. 16 LPGA, il faut établir ce que la personne assurée aurait, au degré de la vraisemblance prépondérante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(TF 9C_611/2021 du 21 novembre 2022 consid. 4.1 et la référence). A cet effet, on se fondera en principe sur les renseignements fournis par l’employeur. Il est toutefois possible de s’écarter du dernier salaire que la personne assurée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(TF 8C_157/2023 du 10 août 2023 consid. 3.2 et les références). b)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(TF 9C_271/2022 du 28 novembre 2022 consid. 3.3.2 et la référence).</w:t>
      </w:r>
    </w:p>
    <w:p>
      <w:r>
        <w:rPr>
          <w:b/>
        </w:rPr>
        <w:t>E. 5</w:t>
      </w:r>
    </w:p>
    <w:p>
      <w:r>
        <w:t>a) En l’occurrence, il convient, pour fixer le revenu sans invalidité, de se référer au montant de 75'000 fr. mentionné dans le rapport d’employeur, lequel correspond à la rémunération que le recourant aurait perçu s’il n’était pas devenu invalide. Le complément d’instruction réalisé par la Cour de céans à la demande du Tribunal fédéral a mis en évidence que le recourant aurait, au degré de la vraisemblance prépondérante, bénéficié d’une progression salariale en lien avec le développement de la société qui l’employait et son ancienneté au sein de celle-ci. Compte tenu des renseignements précis donnés par l’employeur, la Cour de céans ne juge pas nécessaire de compléter l’instruction dans la mesure où lesdits renseignements apparaissent suffisants. b) La comparaison d’un revenu sans invalidité de 75'000 fr. avec un revenu d’invalide (indexé à 2020) de 34'461 fr. 80 aboutit à un degré d’invalidité de 54,05 %, arrondi à 54 % (cf. ATF 130 V 121). A l’échéance du délai d’attente d’une année (cf. art. 28 al. 1 LAI), soit le 24 septembre 2019, le recourant pouvait prétendre à une demi-rente de l’assurance-invalidité (cf. art. 28 al. 2 LAI). La demande de prestations ayant toutefois été déposée tardivement le 1 er novembre 2019, le droit à la rente ne prend effet que le 1 er mai 2020 (cf. art. 29 al. 1 et 3 LAI).</w:t>
      </w:r>
    </w:p>
    <w:p>
      <w:r>
        <w:rPr>
          <w:b/>
        </w:rPr>
        <w:t>E. 6</w:t>
      </w:r>
    </w:p>
    <w:p>
      <w:r>
        <w:t>a) En définitive, le recours, bien fondé, doit être admis et les décisions attaquées réformées, en ce sens que le recourant peut prétendre à une demi-rente d’invalidité à compter du 1 er mai 2020.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qui obtient gain de cause, a droit à une indemnité de dépens à titre de participation aux honoraires de son conseil (art. 61 let. g LPGA). Etant donné l’importance et la complexité du litige, il convient d’arrêter l’indemnité de dépens à 2'500 fr., débours et TVA compris, et de la mettre intégralement à la charge de l’intimé (art. 10 et 11 TFJDA [tarif du 28 avril 2015 des frais judiciaires et des dépens en matière administrative ; BLV 173.36.5.1]). Cette indemnité couvre le montant qui serait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