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394 vom 24. Juni 2024</w:t>
      </w:r>
    </w:p>
    <w:p>
      <w:r>
        <w:t>VD Tribunal cantonal, 2024-06-24, FR</w:t>
      </w:r>
    </w:p>
    <w:p>
      <w:r>
        <w:rPr>
          <w:b/>
        </w:rPr>
        <w:t xml:space="preserve">Quelle: </w:t>
      </w:r>
      <w:r>
        <w:t>https://mcp.opencaselaw.ch/entscheid/vd_findinfo_Arr_t___2024___394</w:t>
      </w:r>
    </w:p>
    <w:p>
      <w:r>
        <w:t>FR: VD_FINDINFO Arrêt / 2024 / 394 du 24 juin 2024</w:t>
      </w:r>
    </w:p>
    <w:p>
      <w:r>
        <w:t>IT: VD_FINDINFO Arrêt / 2024 / 394 del 24 giugno 2024</w:t>
      </w:r>
    </w:p>
    <w:p>
      <w:pPr>
        <w:pStyle w:val="Heading2"/>
      </w:pPr>
      <w:r>
        <w:t>Regeste</w:t>
      </w:r>
    </w:p>
    <w:p>
      <w:r>
        <w:t>SERVICE MÉDICAL RÉGIONAL, APPRÉCIATION DES PREUVES, ÉVALUATION DE L'INVALIDITÉ | 28 LAI, 61 let. c LPGA</w:t>
      </w:r>
    </w:p>
    <w:p>
      <w:pPr>
        <w:pStyle w:val="Heading2"/>
      </w:pPr>
      <w:r>
        <w:t>Erwägungen</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Conformément à l’art. 59 al. 3 LAI, les offices AI peuvent faire appel aux services de centres d’observation professionnelle de l’AI (COPAI) dans des cas particuliers, pour l’examen pratique de la capacité de travail de la personne assurée. Les organes d’observation professionnelle ont pour fonction de compléter les données médicales en examinant concrètement dans quelle mesure la personne assurée est à même de mettre en valeur une capacité de travail et de gain sur le marché du travail (TF 8C_244/2015 du 8 mars 2016 consid. 5.2 et les références citées).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9C_762/2018 du 11 janvier 2019 consid. 4.3.1 et les références citées). Reste que ces informations recueillies au cours d’un stage, pour utiles qu’elles soient, ne sauraient, en principe supplanter l’avis dûment motivé d’un médecin à qui il appartient, au premier chef, de porter un jugement sur l’état de santé de la personne assurée et d’indiquer dans quelle mesure et pour quelles activités celui-ci est capable de travailler, le cas échéant quels travaux on peut encore raisonnablement exiger de lui (TFA I 531/04 du 11 juillet 2005 consid. 4.2 et les références citées). d)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w:t>
      </w:r>
    </w:p>
    <w:p>
      <w:r>
        <w:rPr>
          <w:b/>
        </w:rPr>
        <w:t>E. 6</w:t>
      </w:r>
    </w:p>
    <w:p>
      <w:r>
        <w:t>a) Au dépôt de sa première demande de prestations le 21 décembre 2018, le recourant a indiqué souffrir des conséquences de son accident vasculaire cérébral. Dans sa décision du 19 mars 2021, entrée en force, l’OAI a considéré que l’assuré avait présenté une incapacité de travail sans interruption depuis le 8 août 2018 dans toutes activités et qu’à l’échéance du délai de carence d’une année, il présentait une incapacité de travail et de gain de 40 % laquelle ouvrait le droit à un quart de rente jusqu’au 30 novembre 2019, à savoir trois mois après avoir recouvré une capacité de travail de 100 % dans son activité habituelle dès le 1 er septembre 2019. b) L’assuré a déposé une nouvelle demande de prestations le 3 mars 2022. Il a fait état des conséquences de son accident vasculaire cérébral, mentionnant qu’après plusieurs tentatives de reprise professionnelle dans des missions temporaires, il recevait toujours le même feedback, à savoir celui d’une lenteur persistante. Après avoir envisagé de ne pas entrer en matière, l’OAI a recueilli des renseignements médicaux auprès du Dr K.N.________ et mis en place une évaluation professionnelle auprès de l’A.________, laquelle a mis en lumière un rendement réduit de l’ordre de 50 % dans les activités manuelles et de l’ordre de 60 à 70 % en bureautique, sous réserve qu’il évolue dans un milieu hiérarchisé et cadrant. Sollicité pour avis, le SMR a retenu que le rendement réduit tenait compte des difficultés de concentration après les pauses mises sur le compte d’une consommation de cannabis et du temps passé par l’assuré sur son téléphone portable et que rien ne permettait d’objectiver une dépendance au cannabis qui empêcherait l’abstinence au moins durant les périodes de stage ou d’évaluation médicale. L’OAI a considéré que l’assuré n’avait pas démontré une aggravation de son état de santé se répercutant sur sa capacité de travail et lui a en conséquence nié le droit aux prestations. Le recourant reproche pour l’essentiel à l’OAI d’avoir insuffisamment instruit son cas sur le plan médical sur la base du seul avis SMR du 13 janvier 2023, contestant bénéficier d’une capacité de travail entière.</w:t>
      </w:r>
    </w:p>
    <w:p>
      <w:r>
        <w:rPr>
          <w:b/>
        </w:rPr>
        <w:t>E. 7</w:t>
      </w:r>
    </w:p>
    <w:p>
      <w:r>
        <w:t>a) A la suite du dépôt de la nouvelle demande le 3 mars 2022, l’intimé est entré en matière et a procédé à l’instruction de celle-ci. Sur le plan médical, il a recueilli l’avis du Dr K.N.________, médecin réadaptateur traitant à l’Institution de K.________, lequel a décrit l’évolution de l’état de santé en ces termes dans son rapport du 30 mai 2022 : « Après une prise en charge en soins aigus puis une neuroréhabilitation stationnaire au 30.10.2018, un rapport Al vous a été adressé le 13.09.2019. Il était alors confirmé que l'examen cognitif et langagier mettait en évidence des troubles exécutifs, caractérisés par des difficultés sévères de planification, et par de légères difficultés en flexibilité mentale, avec ponctuellement un manque d'incitation verbale, associés à des troubles attentionnels se caractérisant par un ralentissement de la vitesse de traitement et des temps de réaction ainsi qu'une baisse modérée du rendement en attention soutenue. Le tableau cognitif était alors d'intensité légère à moyenne et caractérisé par des difficultés exécutives et attentionnelles. Ce tableau était compatible avec l'atteinte neurologique alors que l'examen neurologique était heureusement à considérer dans les limites de la norme. Par la suite, même après une infection Covid, il n'y a pas eu d'aggravation significative. Selon le bilan cognitif réalisé le 12.05.2022, et en fonction des observations de 2019 et de 2022, il est mis en évidence à ce jour : · des troubles exécutifs caractérisés par de légères difficultés en inhibition verbale et en flexibilité mentale, ainsi qu'un ralentissement de l'accès aux mots dans l'expression verbale spontanée et une faiblesse de la récupération en mémoire épisodique verbale à long terme (après un délai de 40 minutes) · des troubles attentionnels modérés se caractérisant par un ralentissement de la vitesse de traitement, des temps de réaction ainsi que des difficultés en attention soutenue sur une durée de 15 minutes · des capacités altérées en mémoire de travail verbale (composante de mise à jour) · des difficultés de raisonnement verbal. Le reste des fonctions cognitives évaluées (dénomination et lecture rapide, apprentissage en mémoire antérograde verbale, planification complexe, attention sélective et divisée) est dans les normes. L’évolution à ce jour depuis la dernière évaluation effectuée en 2019 est globalement stable avec des difficultés dans les mêmes fonctions cognitives. On observe une légère amélioration dans le domaine attentionnel et exécutif, et une petite baisse sur le plan mnésique. Ainsi, ces troubles ont toujours un impact sur sa capacité de travail, puisque lorsque le patient a pu reprendre une activité, il s’est trouvé en difficulté de par un certain ralentissement, l’incapacité à augmenter la cadence en cas de pression et avec une fatigue, présentant aussi des troubles attentionnels avec des oublis. Ces troubles apparaissent aussi après 7 heures de travail avec un ralentissement jusqu’à la fin de son activité de 8 heures de travail, alors que le patient est fatigable. » Le Dr K.N.________ a fait savoir à l’office intimé que le nouveau degré d’incapacité de travail était « semblable » à celui de 2018 (recte : 2019). Sur le plan fonctionnel, le médecin réadaptateur retenait une diminution du rendement attentionnel et de la vitesse, des difficultés pour passer aisément d’une tâche à l’autre, le besoin d’avoir recours à des instructions écrites pour décharger la mémoire vive et maintenir les informations dans le temps, des limitations pour la prise de décisions. Il a estimé que les capacités cognitives de son patient étaient compatibles avec l’exercice d’une activité simple et routinière avec un rendement diminué qu’il suggérait d’évaluer en situation. Ce faisant, le Dr K.N.________ n’a pas énoncé de nouvelles limitations fonctionnelles par rapport à ses rapports des 17 avril, 13 septembre et 20 septembre 2019. Pour le surplus, aucun élément médical du dossier ne permet de remettre en cause l’évolution favorable de l’assuré sur les plans neurologiques et neuropsychologiques. Les rapports médicaux au dossier, tous établis par les médecins ayant suivi le recourant au Centre H.________ et à Institution de K.________ (rapports des 6 novembre 2018, 4 mars, 17 avril, 13 et 20 septembre et 4 octobre 2019 du Dr K.N.________ ; rapport des 5 mars et 18 décembre 2019 du Centre H.________ ; bilan cognitif de l’Institution de K.________ du 10 septembre 2019), sont unanimes quant à l’évolution favorable du recourant. En définitive, les diagnostics et limitations fonctionnelles restent parfaitement superposables. b) La mise en œuvre d’une évaluation professionnelle auprès de l’A.________ a effectivement débouché sur l’observation d’une certaine lenteur au travail et de difficultés cognitives (rapport du 8 décembre 2022, pp. 5-7 et 12-13 ; cf. aussi note d’entretien du 2 décembre 2022). Il convient ici de mentionner que l’observation professionnelle en question a non seulement été encadrée par les maîtres sociaux-professionnels, mais également par le Dr A.M.________, spécialiste en médecine interne générale, et par une psychologue du travail. Les intervenants de l’A.________ ont estimé qu’il persistait un certain degré d’héminégligence gauche, qui se traduisait d’ailleurs dans les manœuvres de conduite, mais qui n’avait pas posé de problème réel en situation écologique de travail. Mentionnant un arrêt de travail douteux ou des départs impromptus (cf. courrier électronique du 25 octobre 2022 de l’A.________ à l’intimé ; note d’entretien entre l’A.________ et l’intimé du 2 décembre 2022), ils ont également fait savoir que, sur le plan comportemental, le recourant était « assez désinhibé au niveau psychosocial » , qu’il présentait des troubles exécutifs caractérisés par des problématiques d’organisation, d’attention, de concentration, de dispersion et de fatigabilité (ibid., p. 12). Si l’A.________ admet que les problèmes d’organisation, de planification ainsi que les comportements de désinhibition psychosociale peuvent s’intégrer dans la symptomatologie induite par un syndrome dysexécutif, il relève néanmoins qu’il existait « très certainement également dans la personnalité initiale (préexistante à l’AVC) [du recourant] une certaine forme de désinvolture. » Ainsi, les maîtres sociaux professionnels ont observé des absences régulières du poste de travail, une dissipation concrétisée par des communications personnelles pendant le travail et la consommation de médias (musique, vidéo) (ibid., p. 9). Il n’en reste pas moins que, bien encadré, le recourant a largement démontré dans des activités de helpdesk « sa pleine capacité à se corriger et à accomplir tous les exercices avec un bon comportement (questions posées à bon escient), une bonne qualité ainsi qu’un rendement dans la norme » , la « possibilité d’exploiter ce genre d’activité [étant] démontrée, cela pour autant que quelqu’un puisse le suivre activement et répondre à toutes ses questions » (ibid., p. 12) . Il faut encore relever que l’A.________ avait pu corréler la baisse de rendement à des problématiques psychosociales, ainsi, dans le cadre des ateliers, les maîtres sociaux professionnels ont observé ce qui suit (ibid., p. 10) : « Ce qu’il a réalisé en DAR [dessin d’architecture] était nouveau pour lui, mais nous avons observé que, malgré cela, son rythme de travail est resté assez lent par rapport à la moyenne. Après une période d’environ une heure de concentration, il a besoin de faire une pause pour, nous a-t-il expliqué, relâcher la pression. Dans ces moments, il quitte la section pour se rendre à l’extérieur se détendre, marcher et fumer. Il profite aussi de ces pauses pour passer des appels téléphoniques. À plusieurs reprises au retour des pauses nous constatons une difficulté de concentration et les yeux rouges. Nous avons aussi noté qu’il passait passablement de temps sur son mobile lorsqu’il était en section et que son attention était ainsi partagée entre son activité sur l’ordinateur et les ressources consultées sur son mobile. Toutes ces pauses et le temps passé sur son mobile en section affectent grandement son rendement, que nous avons pu estimer à environ 50 - 60 %. Cette problématique liée aux pauses a également été relevée par la psychologue de l’A.________, l’attention du recourant diminuant au retour des interruptions du travail (ibid., pp. 6-8) alors que l’on devrait pouvoir au contraire attendre une attention et concentration améliorée au retour des pauses. c) Sur la base des observations professionnelles de l’A.________, validées par le médecin conseil de cette institution, et du rapport du Dr K.N.________ du 30 mai 2022, le SMR a estimé dans sa prise de position du 13 janvier 2023, qu’il y avait peu d’explications probantes, plausibles, concernant l’absentéisme en début de stage, que l’assuré passait passablement de temps sur son téléphone mobile, ce qui était pris en compte dans le calcul du rendement, qu’il n’existait aucun indice que le rendement était affecté par une cause organique ou psychique, mais plutôt par un comportement dû à une personnalité préexistante ou à une implication suboptimale. En conséquence, le SMR en concluait que rien ne permettait d’objectiver les plaintes de l’assuré ou de retenir une dépendance au cannabis qui, le cas échéant, ne permettrait pas à l’assuré de s’abstenir de toute consommation au moins durant les périodes de stage ou d’évaluation médicale. A contrario, le recourant n’a fourni aucun élément médical permettant de remettre en cause non seulement les observations de l’A.________, mais surtout l’absence d’évolution de son état de santé tel qu’évalué par son propre médecin traitant dans son dernier rapport du 30 mai 2022 (cf. consid. 7a ci-dessus), étant souligné que ce dernier a relevé que l’évolution depuis la dernière évaluation effectuée en 2019 était globalement stable avec des difficultés dans les mêmes fonctions cognitives. Il convient de rappeler que les facteurs psychosociaux énumérés ci-avant (désinvolture, problématique familiale, etc.) à l’origine de la baisse de rendement ne reposent pas sur une cause médicale. De tels facteurs non médicaux, qui contribuent également à la baisse de rendement observée, constituent des circonstances non invalidantes et donc non assurées par l’assurance-invalidité (ATF 141 V 281 consid. 4.3.1.1 et 3.4.2.1 ; TF 9C_756/2018 du 17 avril 2019 consid. 5.2.3 ; 8C_559/2019 du 20 janvier 2020 consid. 3.2). Il y a lieu de considérer que le SMR a dûment analysé les différents rapports au dossier et constaté l’absence d’aggravation de l’état de santé du recourant sur la seule base de ceux-ci, lesquels ne sont pas remis en cause. A la lumière de ces éléments, il y a donc lieu d’admettre que l’appréciation du SMR apparaît cohérente et convaincante et que l’instruction est complète. d) Aussi, la situation médicale du recourant ne s’est pas notablement aggravée entre la dernière décision qui repose sur un examen matériel du droit à la rente, soit la décision du 19 mars 2021 accordant une rente limitée dans le temps, et la décision litigieuse du 27 janvier 2023, si bien que le recours doit être rejeté. e) L’instruction apparaît suffisante, les éléments au dossier permettant à la Cour de céans de statuer en pleine connaissance de cause, de sorte qu’il n’y a pas lieu d’ordonner de mesures d’instruction complémentaires telle l’expertise requise par la partie recourante. Celle-ci n’apparaît pas de nature à apporter un éclairage différent des éléments retenus ci-dessus et peut dès lors être écarté par appréciation anticipée des preuves (ATF 145 I 167 consid. 4.1 ; 144 II 427 consid. 3.1.3 ; 140 I 285 consid. 6.3.1).</w:t>
      </w:r>
    </w:p>
    <w:p>
      <w:r>
        <w:rPr>
          <w:b/>
        </w:rPr>
        <w:t>E. 8</w:t>
      </w:r>
    </w:p>
    <w:p>
      <w:r>
        <w:t>a) Vu ce qui précède, le recours doit être rejeté dans la mesure où il est recevable et la décision entreprise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(art. 5 RAJ).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