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391 vom 7. Mai 2024</w:t>
      </w:r>
    </w:p>
    <w:p>
      <w:r>
        <w:t>VD Tribunal cantonal, 2024-05-07, FR</w:t>
      </w:r>
    </w:p>
    <w:p>
      <w:r>
        <w:rPr>
          <w:b/>
        </w:rPr>
        <w:t xml:space="preserve">Quelle: </w:t>
      </w:r>
      <w:r>
        <w:t>https://mcp.opencaselaw.ch/entscheid/vd_findinfo_Arr_t___2024___391</w:t>
      </w:r>
    </w:p>
    <w:p>
      <w:r>
        <w:t>FR: VD_FINDINFO Arrêt / 2024 / 391 du 7 mai 2024</w:t>
      </w:r>
    </w:p>
    <w:p>
      <w:r>
        <w:t>IT: VD_FINDINFO Arrêt / 2024 / 391 del 7 maggio 2024</w:t>
      </w:r>
    </w:p>
    <w:p>
      <w:pPr>
        <w:pStyle w:val="Heading2"/>
      </w:pPr>
      <w:r>
        <w:t>Regeste</w:t>
      </w:r>
    </w:p>
    <w:p>
      <w:r>
        <w:t>CURATELLE DE REPRÉSENTATION AYANT POUR OBJET LA GESTION DU PATRIMOINE, AFFECTION PSYCHIQUE, PROPORTIONNALITÉ, SUBSIDIARITÉ, PERSONNE PROCHE, CONFLIT D'INTÉRÊTS, REJET DE LA DEMANDE | 389 CC, 394 al. 1 CC, 395 al. 1 CC, 450 CC</w:t>
      </w:r>
    </w:p>
    <w:p>
      <w:pPr>
        <w:pStyle w:val="Heading2"/>
      </w:pPr>
      <w:r>
        <w:t>Erwägungen</w:t>
      </w:r>
    </w:p>
    <w:p>
      <w:r>
        <w:rPr>
          <w:b/>
        </w:rPr>
        <w:t>E. 1.1</w:t>
      </w:r>
    </w:p>
    <w:p>
      <w:r>
        <w:t>Le recours est dirigé contre une décision de la justice de paix instituant une curatelle de représentation et de gestion en faveur du recourant, au sens des art. 394 al. 1 et 395 al. 1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Motivé et interjeté en temps utile par la personne concernée par la mesure, partie à la procédure, le recours est recevable à la forme. Le recours étant manifestement mal fondé, comme cela sera développé ci-après, il a été renoncé à consulter l’autorité de protection et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(art. 446 al. 2 CC), en particulier pour déterminer l’existence d’un trouble psychique ou d’une déficience mentale (Meier, Droit de la protection de l’adulte, Droit de la protection de l’adulte, 2 e éd., Genève/Zurich 2022, n. 206, p. 109 et n. 727, p. 401). Le Tribunal fédéral a rappelé qu’une expertise médicale s'avère indispensable pour ordonner l'instauration d'une mesure limitant l'exercice des droits civils d'une personne en raison d'un trouble psychique ou d'une déficience mentale, à moins que l'un des membres de l'autorité de protection ne dispose des compétences médicales nécessaires (ATF 140 III 97 consid. 4 ; TF 5A_417/2018 du 17 octobre 2018 consid. 4.3.1 ; TF 5A_617/2014 du 1 er décembre 2014 consid. 4.3 ; Meier, op. cit. , n. 892, pp 469-470).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(CCUR 23 décembre 2021/267 consid. 2.3.1 ; Meier, op. cit. , n. 209, p. 110). Un certificat médical peut ainsi suffire. L’autorité de protection est toutefois soumise à un devoir illimité d’établir les faits, toutes les méthodes d’investigation étant admissibles (cf. art. 168 CPC ; CCUR 3 avril 2023/63 consid. 2.1.2 ; Steck, in Commentaire du droit de la famille [CommFam], Protection de l’adulte, Berne 2013, nn 10 ss ad art. 446 CC, p. 855).</w:t>
      </w:r>
    </w:p>
    <w:p>
      <w:r>
        <w:rPr>
          <w:b/>
        </w:rPr>
        <w:t>E. 2.3</w:t>
      </w:r>
    </w:p>
    <w:p>
      <w:r>
        <w:t>En l’occurrence, le recourant a été entendu par la justice de paix le 20 février 2024 ; son droit d’être entendu a dès lors été respecté. Aucune expertise n’a été mise en œuvre dans cette cause, ce qui n’était pas nécessaire en l’absence de restriction de la capacité civile ou d’accès aux biens de la personne concernée. Pour le surplus, la décision querellée se fonde sur deux attestations médicales, qui comportent des éléments suffisants et actuels sur l’état de santé de l’intéressé pour permettre à la Chambre de céans de statuer sur le bien-fondé de la mesure litigieuse. La décision entreprise est donc formellement correcte, de sorte qu’elle peut être examinée sur le fond.</w:t>
      </w:r>
    </w:p>
    <w:p>
      <w:r>
        <w:rPr>
          <w:b/>
        </w:rPr>
        <w:t>E. 3.1</w:t>
      </w:r>
    </w:p>
    <w:p>
      <w:r>
        <w:t>Le recourant conteste la curatelle instaurée en sa faveur, au motif qu’il bénéficierait déjà depuis trente ans du soutien d’une proche amie et qu’aucun indice ne parlerait en faveur d’une mauvaise gestion. Il se prévaut ainsi d’une violation des principes de subsidiarité et de proportionnalité.</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 n. 14 ad art. 390 CC, p. 2419).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 7 décembre 2021 consid. 4.1.1 ; Meier, Droit de la protection de l’adulte, op. cit. , n. 729, p. 403 ; Guide pratique COPMA 2012, op. cit. , n. 5.10, p. 138).</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TF 5A_844/2017 du 15 mai 2018 consid. 3.1 et les références citées). L’aide proposée peut s’avérer contre-productive ou inappropriée, notamment lorsque le prétendu soutien n’est pas dans l’intérêt de la personne concernée (Biderbost, BSK ZGB I, op. cit. ,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 n. 2 ad art. 389 CC, p. 2408).</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 nn. 15 à 26 ad art. 394 CC, pp. 439 ss, et n. 11 ad art. 395 CC, p. 452 ; Meier, Droit de la protection de l’adulte, op. cit. ,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 nn. 813 et 833, pp. 438 et 447 ; Meier, CommFam, op. cit. ,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précité consid 4.2.2 et les références citées ; TF 5A_192/2018 précité consid. 3.1 et les références citées).</w:t>
      </w:r>
    </w:p>
    <w:p>
      <w:r>
        <w:rPr>
          <w:b/>
        </w:rPr>
        <w:t>E. 3.3</w:t>
      </w:r>
    </w:p>
    <w:p>
      <w:r>
        <w:t>En l’occurrence, le recourant, âgé de 82 ans au moment du recours, est atteint d’une démence de type mixte. Sa situation a été signalée à l’autorité de protection par le médecin référent de l’institution où il réside en janvier 2024, en raison des troubles cognitifs et de l’orientation dont il souffre, lesquels affectent sa capacité de discernement, et compte tenu du désintérêt qu’il démontre à l’égard de la gestion de ses affaires personnelles et financières. Le médecin a estimé qu’une mesure de protection était nécessaire. Le recourant s’est dit irrité lors de son audition par la justice de paix, le 20 février 2024, que l’on remette en cause sa capacité de discernement. Toutefois, dans son recours, il n’en fait plus mention. Il met l’accent sur l’absence d’indices d’une mauvaise gestion et sur l’aide dont il dispose par l’entremise de son ancienne voisine et femme de ménage, A.________. La limitation de la capacité de discernement du recourant est en tout état de cause attestée par le référent de l’EMS, le Dr [...], et corroborée par la lettre du neurologue [...] à la notaire [...], lequel juge également l’institution d’une curatelle nécessaire. On doit ainsi retenir de ces rapports médicaux que les troubles cognitifs dont souffre le recourant l’empêchent de s’intéresser à la gestion de ses affaires. La nécessité d’une assistance pour préserver ses intérêts personnels et financiers est donc avérée, en présence, à tout le moins, d’un état de faiblesse empêchant la sauvegarde de ses propres intérêts. Contrairement à ce que plaide le recourant, le fait qu’il disposerait modérément de sa fortune et qu’il n’y aurait pas d’indice de mauvaise gestion est sujet à discussion, dès lors que l’intéressé déclare lui-même procéder mensuellement à des dons de plusieurs milliers de francs à A.________ et que le désintérêt témoigné à ses affaires personnelles et financières est attesté par son médecin référent, lequel se dit inquiet de sa situation de vulnérabilité. Le principe de proportionnalité dont se prévaut le recourant n’apparaît pas violé par la mesure instituée, laquelle ne restreint pas les droits civils de l’intéressé ni n’empêche celui-ci d’accéder à ses biens. Au surplus, le moyen n’est pas développé. Reste la subsidiarité de la mesure, dont le recourant fait valoir qu’elle impliquerait de renoncer à la curatelle dès lors qu’il bénéficie déjà, de longue date, de l’assistance de A.________. Or, la prénommée n’apparaît pas désintéressée, au contraire, puisqu’elle bénéficie de dons mensuels conséquents de la personne concernée, d’une part, et que, selon l’EMS, elle est régulièrement opposée à l’institution qui prend en charge le recourant, allant jusqu’à solliciter un autre avis neurologique. Cette institution a également constaté qu’elle était présente quotidiennement et manquait de discrétion, étalant la vie du recourant en public, amenant l’institution et les médecins à s’interroger sur ses intentions. D’autre part, le recourant a admis en audience qu’il avait le souhait d’instituer A.________ comme son héritière et avait visiblement entrepris des démarches en ce sens auprès d’un notaire, ce qui n’avait pas plu à la sœur de l’intéressé. L’EMS a également confirmé la survenance d’altercations entre cette dernière et A.________. Dans ces circonstances, le conflit d’intérêts patent et le contexte de tensions avec la sœur du recourant proscrivent de tenir l’aide de A.________ pour suffisante au sens de la doctrine et de la jurisprudence précitées. Au demeurant, il est probable que le soutien procuré par cette personne se révélerait quoi qu’il en soit trop limité, dans la mesure où celle-ci ne dispose d’aucune procuration, alors que l’intéressé a manifestement besoin qu’un représentant puisse agir à sa place et se charger de l’ensemble des affaires, et non pas uniquement de la gestion des factures. Ainsi, la désignation d’un curateur neutre s’avère pleinement fondée. Par conséquent, le grief doit être rejeté. Pour le surplus, le recourant n’émet aucune critique à l’encontre du curateur professionnel désigné, lequel paraît satisfaire aux exigences de l’art. 400 CC. Il résulte de ce qui précède que l’institution d’une curatelle de représentation et de gestion en faveur du recourant, confiée à un curateur tiers, s’avère justifiée et proportionnée, tant la cause que la condition d’une telle mesure étant réunies en l’état.</w:t>
      </w:r>
    </w:p>
    <w:p>
      <w:r>
        <w:rPr>
          <w:b/>
        </w:rPr>
        <w:t>E. 4</w:t>
      </w:r>
    </w:p>
    <w:p>
      <w:r>
        <w:t>En conclusion, le recours, manifestement infondé, doit être rejeté et la décision entreprise confirmée. L’arrêt peut être rendu sans frais judiciaires de deuxième instance ni allocation de dépens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 ‑ M. R.________, ‑ M. T.________, curateur, Service des curatelles et tutelles professionnelles, et communiqué à : ‑ Mme la Juge de paix du district de la Riviera – Pays-d’Enhaut, - Dr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