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356 vom 1. Januar 2021</w:t>
      </w:r>
    </w:p>
    <w:p>
      <w:r>
        <w:t>VD Tribunal cantonal, 2021-01-01, FR</w:t>
      </w:r>
    </w:p>
    <w:p>
      <w:r>
        <w:rPr>
          <w:b/>
        </w:rPr>
        <w:t xml:space="preserve">Quelle: </w:t>
      </w:r>
      <w:r>
        <w:t>https://mcp.opencaselaw.ch/entscheid/vd_findinfo_Arr_t___2024___356</w:t>
      </w:r>
    </w:p>
    <w:p>
      <w:r>
        <w:t>FR: VD_FINDINFO Arrêt / 2024 / 356 du 1 janvier 2021</w:t>
      </w:r>
    </w:p>
    <w:p>
      <w:r>
        <w:t>IT: VD_FINDINFO Arrêt / 2024 / 356 del 1 gennaio 2021</w:t>
      </w:r>
    </w:p>
    <w:p>
      <w:pPr>
        <w:pStyle w:val="Heading2"/>
      </w:pPr>
      <w:r>
        <w:t>Regeste</w:t>
      </w:r>
    </w:p>
    <w:p>
      <w:r>
        <w:t>REJET DE LA DEMANDE, PRESTATION D'ASSURANCE{AC}, INSOLVABILITÉ, SOCIÉTÉ À RESPONSABILITÉ LIMITÉE, EXCLUSION{EN GÉNÉRAL}, ASSOCIÉ GÉRANT | 51 LACI</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128 al. 1 et 119 al. 1 OACI [ordonnance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w:t>
      </w:r>
    </w:p>
    <w:p>
      <w:r>
        <w:rPr>
          <w:b/>
        </w:rPr>
        <w:t>E. 2</w:t>
      </w:r>
    </w:p>
    <w:p>
      <w:r>
        <w:t>Le litige porte sur le droit du recourant à une indemnité en cas d’insolvabilité.</w:t>
      </w:r>
    </w:p>
    <w:p>
      <w:r>
        <w:rPr>
          <w:b/>
        </w:rPr>
        <w:t>E. 3</w:t>
      </w:r>
    </w:p>
    <w:p>
      <w:r>
        <w:t>a) Selon l'art. 51 al. 1 LACI, les travailleurs assujettis au paiement des cotisations, qui sont au service d'un employeur insolvable sujet à une procédure d'exécution forcée en Suisse ou employant des travailleurs en Suisse, ont droit à une indemnité pour insolvabilité notamment lorsqu'une procédure de faillite est engagée contre leur employeur et qu'ils ont, à ce moment-là, des créances de salaire envers lui (let. a). N’ont pas droit à l’indemnité les personnes qui fixent les décisions que prend l’employeur – ou peuvent les influencer considérablement – en qualité d’associé, de membre d’un organe dirigeant de l’entreprise ou encore de détenteur d’une participation financière à l’entreprise ; il en va de même des conjoints de ces personnes, lorsqu’ils sont occupés dans la même entreprise (art. 51 al. 2 LACI). En édictant l'alinéa 2 de l'art. 51 LACI, le législateur a voulu exclure d'une protection particulière les personnes qui exercent aussi bien une influence sur la conduite des affaires et sur la politique de l'entreprise qu'un droit de regard sur les pièces comptables et ne sont, de ce fait, pas surprises par la faillite subite de l'employeur (FF 1994 I p. 362). b) Selon la jurisprudence relative à l'art. 31 al. 3 let. c LACI, – lequel, dans une teneur identique, exclut du droit à l'indemnité en cas de réduction de l'horaire de travail le même cercle de personnes que celui visé par l'art. 51 al. 2 LACI et auquel on peut se référer par analogie (TF 8C_865/2015 du 6 juillet 2016 consid. 4.2) –, pour déterminer quelle est la possibilité effective d’un dirigeant d’influencer le processus de décision de la société, il convient de prendre en compte les rapports internes existant dans l’entreprise ; on établira l’étendue du pouvoir de décision en fonction des circonstances concrètes. Il n’est en principe pas admissible de refuser, de manière générale, le droit aux prestations aux employés au seul motif qu’ils peuvent engager l’entreprise par leur signature et qu’ils sont inscrit au registre du commerce (TF 8C_748/2022 du 21 août 2023 consid. 4.3 ; 8C_865/2015 du</w:t>
      </w:r>
    </w:p>
    <w:p>
      <w:r>
        <w:rPr>
          <w:b/>
        </w:rPr>
        <w:t>E. 6</w:t>
      </w:r>
    </w:p>
    <w:p>
      <w:r>
        <w:t>juillet 2016 consid. 4.2). La seule exception à ce principe concerne les membres des conseils d’administration d’une société anonyme, car ils disposent ex lege (art. 716 à 716b CO [loi fédérale du 30 mars 1911 complétant le Code civil suisse – livre cinquième : droit des obligations ; RS 220]) d’un pouvoir déterminant au sens de l’art. 31 al. 3 let. c LACI. Il en va de même, dans une société à responsabilité limitée, des associés, respectivement des associés gérants lorsqu’il en a été désigné (art. 804 ss CO), lesquels occupent collectivement une position comparable à celle du conseil d’administration d’une société anonyme. Le droit aux prestations de ces personnes peut dès lors être exclu sans qu’il soit nécessaire de déterminer plus concrètement les responsabilités qu’ils exercent au sein de la société (ATF 145 V 200 consid. 4.2 ; 122 V 270 consid. 3 ; TF 8C_811/2019 du 12 novembre 2020 consid. 3.1.3 ; 8C_537/2019 du 22 octobre 2020 consid. 3.3.3 et 6.2). c)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4. En l’occurrence, le recourant a été inscrit au registre du commerce le</w:t>
      </w:r>
    </w:p>
    <w:p>
      <w:r>
        <w:rPr>
          <w:b/>
        </w:rPr>
        <w:t>E. 8</w:t>
      </w:r>
    </w:p>
    <w:p>
      <w:r>
        <w:t>mars 2017, en qualité d’unique associé gérant de la société B.________Sàrl au bénéfice de la signature individuelle. Sa situation est ainsi soumise aux règles spécifiques s’appliquant aux gérants des sociétés à responsabilité limitée, pour qui l’inscription au registre du commerce constitue le critère de délimitation décisif, sans qu’il soit nécessaire de déterminer concrètement l’étendue de leur pouvoir effectif de décision. En sa qualité d’associé gérant de B.________Sàrl, assumant de surcroît seul cette fonction, le recourant occupait manifestement ex lege une fonction dirigeante lui conférant un pouvoir décisionnel déterminant, excluant qu’il puisse bénéficier d’une indemnité en cas d’insolvabilité. Le recourant invoque en vain la pandémie de COVID-19, un vol de marchandises dont il a été victime ou encore sa situation précaire de père célibataire, en vue d’obtenir une indemnité en cas d’insolvabilité. L’art. 51 al. 2 LACI et la jurisprudence rigoureuse et constante concernant les personnes auxquelles cette prestation doit être refusée s’applique, peu importe la nature des difficultés rencontrées ou les raisons de la faillite de la société. 5. a) En conclusion, le recours doit être rejeté et la décision entreprise confirmée. b) Il n’y a pas lieu de percevoir de frais judiciaires (art. 61 let. f bis LPGA), ni d’allouer de dépens à la partie recourante, qui n’obtient pas gain de cause et a procédé sans mandataire qualifié (art. 61 let. g LPGA ; ATF 127 V 205 consid. 4b). Par ces motifs, le juge unique prononce : I. Le recours est rejeté. II. La décision sur opposition rendue le 29 décembre 2023 par la G.________, est confirmée. III. Il n’est pas perçu de frais judiciaires, ni alloué de dépens. Le juge unique :               La greffière : Du L'arrêt qui précède est notifié à : ‑ Q.________, ‑ G.________,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