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2024 / 321 vom 4. April 2024</w:t>
      </w:r>
    </w:p>
    <w:p>
      <w:r>
        <w:t>VD Tribunal cantonal, 2024-04-04, FR</w:t>
      </w:r>
    </w:p>
    <w:p>
      <w:r>
        <w:rPr>
          <w:b/>
        </w:rPr>
        <w:t xml:space="preserve">Quelle: </w:t>
      </w:r>
      <w:r>
        <w:t>https://mcp.opencaselaw.ch/entscheid/vd_findinfo_Arr_t___2024___321</w:t>
      </w:r>
    </w:p>
    <w:p>
      <w:r>
        <w:t>FR: VD_FINDINFO Arrêt / 2024 / 321 du 4 avril 2024</w:t>
      </w:r>
    </w:p>
    <w:p>
      <w:r>
        <w:t>IT: VD_FINDINFO Arrêt / 2024 / 321 del 4 aprile 2024</w:t>
      </w:r>
    </w:p>
    <w:p>
      <w:pPr>
        <w:pStyle w:val="Heading2"/>
      </w:pPr>
      <w:r>
        <w:t>Regeste</w:t>
      </w:r>
    </w:p>
    <w:p>
      <w:r>
        <w:t>PÉRIODE DE COTISATION À L'ÉTRANGER, ACCORD SUR LA LIBRE CIRCULATION DES PERSONNES, CONVENTION EN MATIÈRE D'ASSURANCES SOCIALES | 20 ALCP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Dans la mesure où il n’y a pas lieu de tenir compte des années de cotisation de la recourante au Portugal, la mesure d’instruction requise, tendant à l’interpellation de la Caisse de compensation au Portugal pour déterminer le nombre d’années de cotisation dans ce pays, est inutile et doit être rejetée.</w:t>
      </w:r>
    </w:p>
    <w:p>
      <w:r>
        <w:rPr>
          <w:b/>
        </w:rPr>
        <w:t>E. 5</w:t>
      </w:r>
    </w:p>
    <w:p>
      <w:r>
        <w:t>a) Mal fondé, le recours doit être rejeté et la décision de l’Office AI du 8 mars 2019 confirmée. b) La procédure de recours en matière de contestations portant sur l'octroi ou le refus de prestations de l'AI devant le tribunal cantonal des assurances est soumise à des frais de justice (art. 69 al. 1 bis LAI). En l'occurrence, vu l'ampleur de la procédure, les frais sont fixés à 600 fr. et mis à la charge de la recourante qui succombe. c) La recourante n’a pas droit à des dépens, dans la mesure où elle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