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273 vom 4. April 2024</w:t>
      </w:r>
    </w:p>
    <w:p>
      <w:r>
        <w:t>VD Tribunal cantonal, 2024-04-04, FR</w:t>
      </w:r>
    </w:p>
    <w:p>
      <w:r>
        <w:rPr>
          <w:b/>
        </w:rPr>
        <w:t xml:space="preserve">Quelle: </w:t>
      </w:r>
      <w:r>
        <w:t>https://mcp.opencaselaw.ch/entscheid/vd_findinfo_Arr_t___2024___273</w:t>
      </w:r>
    </w:p>
    <w:p>
      <w:r>
        <w:t>FR: VD_FINDINFO Arrêt / 2024 / 273 du 4 avril 2024</w:t>
      </w:r>
    </w:p>
    <w:p>
      <w:r>
        <w:t>IT: VD_FINDINFO Arrêt / 2024 / 273 del 4 aprile 2024</w:t>
      </w:r>
    </w:p>
    <w:p>
      <w:pPr>
        <w:pStyle w:val="Heading2"/>
      </w:pPr>
      <w:r>
        <w:t>Regeste</w:t>
      </w:r>
    </w:p>
    <w:p>
      <w:r>
        <w:t>AUTORISATION OU APPROBATION{EN GÉNÉRAL}, CURATEUR, VENTE, CURATELLE DE REPRÉSENTATION AYANT POUR OBJET LA GESTION DU PATRIMOINE, CURATELLE DE REPRÉSENTATION{ART. 394 CC} | 394 al. 1 CC, 395 al. 1 CC, 416 al. 1 ch. 5 CC, 450 CC</w:t>
      </w:r>
    </w:p>
    <w:p>
      <w:pPr>
        <w:pStyle w:val="Heading2"/>
      </w:pPr>
      <w:r>
        <w:t>Erwägungen</w:t>
      </w:r>
    </w:p>
    <w:p>
      <w:r>
        <w:rPr>
          <w:b/>
        </w:rPr>
        <w:t>E. 1.1</w:t>
      </w:r>
    </w:p>
    <w:p>
      <w:r>
        <w:t>Le recours est dirigé contre une décision de la juge de paix autorisant, en application de l’art. 416 al. 1 ch. 1 et 5 CC, la vente d’objets de la recourante.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173.011) dans les trente jours dès la notification de la décision (art. 450b al. 1 CC ; cf. notamment CCUR 22 août 2023/159).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 Geiser/Fountoulakis [édit.], Basler Kommentar, Zivilgesetzbuch l, Art. 1-456 ZGB, 7 e éd., Bâle 2022 [ci-après : BSK Zivilgesetzbuch I],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BSK Zivilgesetzbuch I,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III 43 ; CCUR 6 avril 2020/74).</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Zivilgesetzbuch I, op. cit., nn. 6 ss ad art. 450d CC, p. 2957).</w:t>
      </w:r>
    </w:p>
    <w:p>
      <w:r>
        <w:rPr>
          <w:b/>
        </w:rPr>
        <w:t>E. 1.3</w:t>
      </w:r>
    </w:p>
    <w:p>
      <w:r>
        <w:t>En l'espèce, sommairement motivé et interjeté en temps utile par la personne concernée, le recours est recevable. Le recours étant manifestement mal fondé au vu des considérations qui seront développées ci-après, il a été renoncé à consulter l'autorité de protection et la curatrice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personnelle ne paraisse disproportionnée (art. 447 al. 1 CC).</w:t>
      </w:r>
    </w:p>
    <w:p>
      <w:r>
        <w:rPr>
          <w:b/>
        </w:rPr>
        <w:t>E. 2.2.2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142 II 218 consid. 2.8.1 ; ATF 141 V 495 consid. 2.2 ; ATF 135 I 187 consid. 2.2 ; TF 5A_395/2022 du 14 février 2023 consid. 3.1.2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a pour but de permettre d'élucider les points obscurs de l'état de fait et garantit à la personne concernée le droit d'être personnellement active dans la procédure (ATF 135 Il 286 consid. 5.1, JdT 2010 I 720 ; ATF 122 1 53 consid. 4a, JdT 1997 1 304).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145 I 73 consid. 7.2.2.1 ; TF 4A_401/2022 du 14 février 2023 consid. 5.1 et les références citées ; TF 5A 680/2014 du 21 novembre 2014 consid. 4.1). Ce droit ne s'étend toutefois qu'aux éléments pertinents pour décider de l'issue du litige (ATF 130 Il 425 consid. 2.1 ; ATF 129 Il 497 consid. 2.2). Le droit d'être entendu ne garantit pas le droit de s'exprimer oralement (ATF 134 I 140 consid. 5.3 ; ATF 125 1 209 consid. 9b ; TF 2C_720/2021 du 26 janvier 2022 consid. 7.1). Par exception, une violation du droit d'être entendu peut être réparée dans le cadre de la procédure de recours lorsque le vice n’est pas particulièrement grave et pour autant que la partie lésée ait la possibilité de s’exprimer devant une autorité de recours disposant d’un plein pouvoir d’examen quant aux faits et au droit (ATF 142 II 218 consid. 2.8.1 ; ATF 137 I 195 consid. 2.3.2 ; ATF 133 1 201 consid. 2.2 ; ATF 129 1 129 consid. 2.2.3 ; CCUR 14 juillet 2023/130 consid. 2.2 et les références citées).</w:t>
      </w:r>
    </w:p>
    <w:p>
      <w:r>
        <w:rPr>
          <w:b/>
        </w:rPr>
        <w:t>E. 2.3</w:t>
      </w:r>
    </w:p>
    <w:p>
      <w:r>
        <w:t>En l'espèce, la décision attaquée a été rendue sans que la recourante soit interpellée par l’autorité de première instance sur la demande d’autorisation de vente de sa curatrice. Dans un courrier du 4 décembre 2023 à la Justice de paix du district de Lavaux-Oron, qui a été transmis à la Justice de paix du district de l’Ouest lausannois, X.________ s’est toutefois déterminée spontanément sur la vente litigieuse, indiquant s’y opposer. Elle a en outre pu exposer sa position dans son recours devant la Chambre de céans qui dispose d’un plein pouvoir d’examen en fait et en droit. Au demeurant, elle n’a pas indiqué souhaiter compléter son recours ou être entendue lors d’une audience. Partant, à supposer qu'il y ait violation du droit d’être entendu, on peut considérer que le vice serait réparé en recours.</w:t>
      </w:r>
    </w:p>
    <w:p>
      <w:r>
        <w:rPr>
          <w:b/>
        </w:rPr>
        <w:t>E. 3</w:t>
      </w:r>
    </w:p>
    <w:p>
      <w:r>
        <w:t>ans » ses affaires au garde-meuble.</w:t>
      </w:r>
    </w:p>
    <w:p>
      <w:r>
        <w:rPr>
          <w:b/>
        </w:rPr>
        <w:t>E. 3.1</w:t>
      </w:r>
    </w:p>
    <w:p>
      <w:r>
        <w:t>La recourante conteste l'autorisation donnée à sa curatrice par l’autorité de première instance de liquider ses affaires personnelles et son mobilier. Elle fait valoir qu'elle souhaite obtenir dans un proche délai un « appartement supervisé » et aimerait ainsi pouvoir le meubler avec ses propres affaires. Elle expose que selon ses calculs, au vu des devis établis dans l'optique de la vente litigieuse, à raison d'une location de garde-meuble de 100 fr. par mois, elle pourrait conserver « encore</w:t>
      </w:r>
    </w:p>
    <w:p>
      <w:r>
        <w:rPr>
          <w:b/>
        </w:rPr>
        <w:t>E. 3.2.1</w:t>
      </w:r>
    </w:p>
    <w:p>
      <w:r>
        <w:t>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et comportant des risques significatifs de caractère généralement durable, cataloguées à l'art. 416 al. 1 ch. 1 à 9 CC, pour lesquelles le consentement de l'autorité s'avère nécessaire (Biderbost, Commentaire du droit de la famille, Protection de l'adulte, Berne 2013 [ci-après : CommFam], nn. 1 et 21 ad art. 416 CC, pp. 583 et 591 ; Vogel, BSK Zivilgesetzbuch I, op. cit., n. 1 ad art. 416/417 CC, p. 2641). L’art. 416 al. 1 ch. 1 à 9 CC en dresse l’énumération, laquelle s’en tient principalement à des actes importants et comportant des risques significatifs de caractère généralement durable (Biderbost, CommFam, n. 21 ad art. 416 CC, p. 591). L'autorité ne devra cependant pas intervenir de manière systématique : les actes mentionnés dans la loi peuvent en effet être accomplis par le curateur seul, mais avec le consentement de la personne concernée pour autant que celle-ci soit capable de discernement et que sa capacité civile n'ait pas été restreinte pour ce type de transaction (art. 416 al. 2 CC). L'art. 416 al. 1 ch. 1 CC soumet à autorisation notamment la liquidation du ménage de la personne concernée. Le ch. 5 dispose que l'autorisation est nécessaire singulièrement pour aliéner d'autres biens, si ces actes vont, au-delà de l'administration ou de l'exploitation ordinaires.</w:t>
      </w:r>
    </w:p>
    <w:p>
      <w:r>
        <w:rPr>
          <w:b/>
        </w:rPr>
        <w:t>E. 3.2.2</w:t>
      </w:r>
    </w:p>
    <w:p>
      <w:r>
        <w:t>En principe, l'autorité agit sur requête. Il incombe au curateur de soumettre à l'autorité de protection, après la conclusion de l'acte, une requête motivée et généralement en la forme écrite, par laquelle il requiert le consentement exigé par la loi. Pour appuyer sa requête, le curateur doit démontrer le bien-fondé de l'opération, en faire valoir les motifs et surtout démontrer les intérêts qu'elle présente pour la personne concernée, sans négliger la manière dont cette dernière voit les choses ; à cela s'ajoutent encore des indications notamment sur les pourparlers et offres, sur l'examen de solutions alternatives et l'obligation de joindre les pièces et documents nécessaires (Biderbost, CommFam, n. 43 ad art. 416 CC, p. 604, et les références citées ; Vogel, BSK Zivilgesetzbuch I, op. cit., nn. 2 et 44 ad art. 416/417 CC, pp. 26412641 et 2657). Est compétente pour délivrer le consentement exigé par l'art. 416 CC l'autorité de protection chargée de l'exécution de la mesure (Biderbost, CommFam, n. 39 ad art. 416 CC, p. 602), plus précisément, dans le canton de Vaud, son président (art. 5 let. m LVPAE) (sur le tout   JdT 2016 III 3 ; CCUR 20 février 2023/38).</w:t>
      </w:r>
    </w:p>
    <w:p>
      <w:r>
        <w:rPr>
          <w:b/>
        </w:rPr>
        <w:t>E. 3.2.3</w:t>
      </w:r>
    </w:p>
    <w:p>
      <w:r>
        <w:t>L'examen de l'autorité de protection doit porter sur l'aspect formel de la requête, sur l'examen formel de l'acte – soit sur sa faisabilité juridique, soit sur ses conditions de forme – et sur l'examen matériel de l'acte à autoriser ; ce dernier examen consistera à analyser l'intérêt de la personne concernée en général, son intérêt en matière d'administration du patrimoine, sur les avantages ou l'opportunité de l'acte, sur les intérêts personnels et matériels de la personne concernée, sur l'absence de prise en compte des intérêts des tiers et sur le principe de la proportionnalité (Meier, Le consentement des autorités de tutelle aux actes du tuteur, Fribourg 1994, thèse, pp. 133 à 147). L'autorité de protection doit effectuer une analyse complète de l'acte juridique envisagé, sous l'angle des intérêts de la personne protégée, ce qui implique une vision complète des circonstances du cas d'espèce (Biderbost, CommFam, op. cit., n. 44 ad art. 416 CC, p. 605). Le but de l'examen de la requête par l'autorité est de se forger la conviction que, pour l'affaire en cause, le consentement doit être accordé ou au contraire refusé. Dans cette perspective, ce sont les intérêts de la personne concernée qui doivent prévaloir. Il faut prendre en compte ses intérêts économiques, lesquels résident en particulier dans le gain réalisé, respectivement dans le rapport entre la prestation et la contreprestation fournies, ainsi que tenir compte des prévisions pouvant être faites quant à l'évolution de la situation. Cela étant, la seule appréciation des intérêts matériels d'un acte juridique n'est pas toujours déterminante et il pourra être à la rigueur envisageable de ne pas conclure une affaire financièrement intéressante ou d'approuver une affaire qui ne comporte pas que des avantages (Biderbost, CommFam, op. cit., n. 47 ad art. 416 CC, pp. 605 et 606 ; Vogel, BSK Zivilgesetzbuch I, op. cit., n. 46 ad art. 416-417 CC, p. 2657). En principe, la sauvegarde des intérêts de la personne concernée ne se réduit pas à la simple constatation que ceux-ci ne sont pas menacés ; en règle générale, il faut une raison particulière ou un besoin précis pour justifier l'acte juridique envisagé, par exemple un besoin de liquidités pour la vente d'un immeuble (Biderbost, CommFam, n. 48 ad art. 416 CC, p. 607 ; sur le tout JdT 2016 III 3 ; CCUR 20 février 2023/38).</w:t>
      </w:r>
    </w:p>
    <w:p>
      <w:r>
        <w:rPr>
          <w:b/>
        </w:rPr>
        <w:t>E. 3.3</w:t>
      </w:r>
    </w:p>
    <w:p>
      <w:r>
        <w:t>En l’espèce, les biens à vendre sont – en valeur – essentiellement des bijoux, pour une valeur estimée à 2'810 francs. Dans son recours, X.________ parle toutefois avant tout de ses meubles, estimés à 295 francs. A cet égard, la curatrice a demandé l'autorisation litigieuse, exposant qu'elle souhaitait vendre les objets de valeur selon les devis annexés et liquider le reste du ménage afin de libérer le garde-meuble, précisant que la personne concernée avait pu récupérer les objets et biens qu'elle souhaitait conserver. S’agissant de la capacité de discernement de la recourante, il ressort notamment d'un rapport médical établi le 17 avril 2023 par la Dre E.________ et d’un rapport d'expertise psychiatrique du 25 avril 2023 qu’elle est « globalement atteinte » . La recourante n'ayant plus son discernement, il appartient bien à la curatrice de prendre des décisions à la place de celle-ci, afin de la protéger, respectivement soumettre à autorisation la vente envisagée conformément à l’art. 416 al. 1 ch. 1 et 5 CC. Vu les troubles psychiques quotidiens (schizophrénie paranoïde) dont souffre de longue date l’intéressée et leur impact sur sa situation, un retour à domicile est très peu plausible. Elle fait d'ailleurs l'objet d'un placement à des fins d’assistance pour une durée indéterminée. La recourante n'a pas non plus de proches pouvant l'aider et elle refuse toute proposition de soin pour faire face à sa situation, ayant au demeurant été expulsée de son logement en raison des nuisances qu’elle occasionnait à ses voisins et qui persistaient malgré les mises en garde de sa gérance. Dans ces circonstances, le pronostic d'un retour à domicile dans les prochains mois, voire années, se révèle défavorable. Au vu de ce constat, l’argument de la recourante ayant trait à son souhait de garnir son prochain appartement avec ses meubles ne peut qu’être écarté. Quant aux bijoux – lesquels ne requièrent pas un grand espace de stockage – la recourante n’en fait pas état et ne fait en particulier pas valoir qu’ils auraient une valeur sentimentale justifiant de les conserver. Par ailleurs, la décision litigieuse sauvegarde les intérêts financiers de la recourante, en lui évitant de payer un garde-meuble dont le contenu est constitué d’objets (vase, vaisselles, etc., cf. supra consid. C.3) estimés à 295 fr., alors que la probabilité qu'elle puisse à nouveau vivre dans un appartement et le meubler est faible. La vente du seul mobilier de ménage s’avérant peu rentable, il paraît ainsi raisonnable d’autoriser la vente de tous les objets qui garnissent cet espace afin de ne pas multiplier les démarches. La vente des objets et du mobilier de ménage ayant une valeur qui pourrait permettre de réaliser un revenu pour couvrir ses charges, l'autorisation requise sert donc les intérêts de la recourante, étant précisé qu'elle a pu récupérer les objets ayant une valeur sentimentale. Au surplus, la recourante ne prétend pas que mobilier entreposé aurait une plus grande valeur que celle figurant dans les devis, ni que le mobilier sans valeur marchande justifierait une autre solution qu'une liquidation. Au vu de ce qui précède, c’est à juste titre que la juge de paix a autorisé la vente litigieuse.</w:t>
      </w:r>
    </w:p>
    <w:p>
      <w:r>
        <w:rPr>
          <w:b/>
        </w:rPr>
        <w:t>E. 4</w:t>
      </w:r>
    </w:p>
    <w:p>
      <w:r>
        <w:t>En conclusion, le recours doit être rejeté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 Du L'arrêt qui précède, dont la rédaction a été approuvée à huis clos, est notifié à : ‑ Mme X.________, ‑ SCTP, à l’att. de Mme R.________,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