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268 vom 2. April 2024</w:t>
      </w:r>
    </w:p>
    <w:p>
      <w:r>
        <w:t>VD Tribunal cantonal, 2024-04-02, FR</w:t>
      </w:r>
    </w:p>
    <w:p>
      <w:r>
        <w:rPr>
          <w:b/>
        </w:rPr>
        <w:t xml:space="preserve">Quelle: </w:t>
      </w:r>
      <w:r>
        <w:t>https://mcp.opencaselaw.ch/entscheid/vd_findinfo_Arr_t___2024___268</w:t>
      </w:r>
    </w:p>
    <w:p>
      <w:r>
        <w:t>FR: VD_FINDINFO Arrêt / 2024 / 268 du 2 avril 2024</w:t>
      </w:r>
    </w:p>
    <w:p>
      <w:r>
        <w:t>IT: VD_FINDINFO Arrêt / 2024 / 268 del 2 aprile 2024</w:t>
      </w:r>
    </w:p>
    <w:p>
      <w:pPr>
        <w:pStyle w:val="Heading2"/>
      </w:pPr>
      <w:r>
        <w:t>Regeste</w:t>
      </w:r>
    </w:p>
    <w:p>
      <w:r>
        <w:t>CURATEUR, CURATELLE DE PORTÉE GÉNÉRALE, ARGENT DE POCHE, ARGENT{ESPÈCES} | 419 CC, 450 CC</w:t>
      </w:r>
    </w:p>
    <w:p>
      <w:pPr>
        <w:pStyle w:val="Heading2"/>
      </w:pPr>
      <w:r>
        <w:t>Erwägungen</w:t>
      </w:r>
    </w:p>
    <w:p>
      <w:r>
        <w:rPr>
          <w:b/>
        </w:rPr>
        <w:t>E. 1.1</w:t>
      </w:r>
    </w:p>
    <w:p>
      <w:r>
        <w:t>Le recours est dirigé contre une décision de la justice de paix rejetant partiellement l’appel au sens de l’art. 419 CC (Code civil suisse du 10 décembre 1907 ; RS 210) déposé par la personne concernée contre le refus de sa curatrice de lui mettre un montant de 1'000 fr. à disposition pour un déplacement en A.________ afin de déférer à une convocation d’un tribunal [...].</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 cf. notamment CCUR 2 septembre 2019/151 ; Fountoulakis, in : Commentaire romand Code civil I, 2 e éd., Bâle 2024 [ci-après : CR CC I], nn. 3 et 22 ad art. 419 CC et les références citées).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l, Art. 1-456 ZGB, 7 e éd., Bâle 2022, n. 42 ad art. 450 CC, p. 2940).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20 al. 1 LVPAE et 450f CC ; ATF 140 III 167 consid. 2.3 ; CCUR 25 juillet 2022/127 et les références citées).</w:t>
      </w:r>
    </w:p>
    <w:p>
      <w:r>
        <w:rPr>
          <w:b/>
        </w:rPr>
        <w:t>E. 1.2.2</w:t>
      </w:r>
    </w:p>
    <w:p>
      <w:r>
        <w:t>L'art. 446 al. 1 CC prévoit que l'autorité de protection établit les faits d'office. L’art. 229 al. 3 CPC étant applicable devant cette autorité, les faits et moyens de preuve nouveaux sont admis jusqu'aux délibérations. Cela vaut aussi en deuxième instance (Droese, Basler Kommentar, op. cit.,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16 avril 2020/74).</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20121,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Conformément à l'art. 450d CC, la Chambre des curatelles donne à la justice de paix l'occasion de prendre position (al. 1), cette autorité pouvant, au lieu de prendre position, reconsidérer sa décision (al. 2). Lorsque le recours est manifestement mal fondé, l'autorité de recours peut renoncer à consulter l'autorité de protection de l'adulte (Reusser, BSK Zivilgesetzbuch I, op. cit., nn. 6 ss ad art. 450d CC, p. 2957).</w:t>
      </w:r>
    </w:p>
    <w:p>
      <w:r>
        <w:rPr>
          <w:b/>
        </w:rPr>
        <w:t>E. 1.3</w:t>
      </w:r>
    </w:p>
    <w:p>
      <w:r>
        <w:t>En l'espèce, X.________ a demandé à la justice de paix de revoir sa décision. Cet acte a été interjeté en temps utile par la personne concernée et est donc recevable à cet égard. Le recours étant manifestement mal fondé, au vu des considérations développées ci-après, la Chambre des curatelles a renoncé à consulter l'autorité de protection de l'adulte et aucune détermination n’a été recueillie.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2.2.1</w:t>
      </w:r>
    </w:p>
    <w:p>
      <w:r>
        <w:t>La procédure devant l'autorité de protection est régie par les art. 443 ss CC. La personne concernée doit être entendue personnellement, à moins que l’audition personnelle ne paraisse disproportionnée (art. 447 al. 1 CC).</w:t>
      </w:r>
    </w:p>
    <w:p>
      <w:r>
        <w:rPr>
          <w:b/>
        </w:rPr>
        <w:t>E. 2.2.2</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142 II 218 consid. 2.8.1 ; ATF 141 V 495 consid. 2.2 ; ATF 135 I 187 consid. 2.2 ; TF 5A_395/2022 du 14 février 2023 consid. 3.1.2 ; TF 5A_699/2017 du 24 octobre 2017 consid. 3.1.3 ; TF 5A_741/2016 du 6 décembre 2016 consid. 3.1.2). Ce moyen doit par conséquent être examiné en premier lieu et avec un plein pouvoir d'examen (ATF 137 I 195 consid. 2.2, SJ 2011 I 345 ; TF 5A_681/2014 du 14 avril 2015 consid. 3.1). Le droit d'être entendu a pour but de permettre d'élucider les points obscurs de l'état de fait et garantit à la personne concernée le droit d'être personnellement active dans la procédure (ATF 135 Il 286 consid. 5.1, JdT 2010 I 720 ; ATF 122 1 53 consid. 4a, JdT 1997 1 304). Ce droit confère à toute personne le droit de s'expliquer avant qu'une décision ne soit prise à son détriment, d'avoir accès au dossier, d'offrir des preuves quant aux faits de nature à influer sur la décision et de participer à l'administration des preuves ou, à tout le moins, de s'exprimer sur son résultat lorsque cela est de nature à influer sur la décision à rendre (ATF 145 I 73 consid. 7.2.2.1 ; TF 4A_401/2022 du 14 février 2023 consid. 5.1 et les références citées ; TF 5A 680/2014 du 21 novembre 2014 consid. 4.1). Ce droit ne s'étend toutefois qu'aux éléments pertinents pour décider de l'issue du litige (ATF 130 Il 425 consid. 2.1 ; ATF 129 Il 497 consid. 2.2). Le droit d'être entendu ne garantit pas le droit de s'exprimer oralement (ATF 134 I 140 consid. 5.3 ; ATF 125 1 209 consid. 9b ; TF 2C_720/2021 du 26 janvier 2022 consid. 7.1). Par exception, une violation du droit d'être entendu peut être réparée dans le cadre de la procédure de recours lorsque le vice n’est pas particulièrement grave et pour autant que la partie lésée ait la possibilité de s’exprimer devant une autorité de recours disposant d’un plein pouvoir d’examen quant aux faits et au droit (ATF 142 II 218 consid. 2.8.1 ; ATF 137 I 195 consid. 2.3.2 ; ATF 133 1 201 consid. 2.2 ; ATF 129 1 129 consid. 2.2.3 ; CCUR 14 juillet 2023/130 consid. 2.2 et les références citées).</w:t>
      </w:r>
    </w:p>
    <w:p>
      <w:r>
        <w:rPr>
          <w:b/>
        </w:rPr>
        <w:t>E. 2.3</w:t>
      </w:r>
    </w:p>
    <w:p>
      <w:r>
        <w:t>En l'espèce, la décision attaquée a été rendue sans que le recourant se soit exprimé devant la justice de paix sur sa demande et sur la position de sa curatrice. X.________ a toutefois pu exposer sa position dans son recours devant la Chambre de céans qui dispose d’un plein pouvoir d’examen en fait et en droit. Au surplus, dans le cadre de la procédure de recours, le recourant, qui a demandé que 3'000 fr. lui soient versés avant le 31 mars 2024, s’est vu remettre, par avis du 27 mars 2024, une copie du courrier du 5 mars du SCTP. Partant, à supposer qu'on admette qu'il y ait violation du droit d’être entendu, on peut considérer que le vice serait réparé en recours.</w:t>
      </w:r>
    </w:p>
    <w:p>
      <w:r>
        <w:rPr>
          <w:b/>
        </w:rPr>
        <w:t>E. 3.1</w:t>
      </w:r>
    </w:p>
    <w:p>
      <w:r>
        <w:t>Le recourant fait valoir qu’il va passer un mois en A.________ et qu’il a besoin d’argent, sa mère étant malade. Il demande un montant de 3'000 fr. à cette fin.</w:t>
      </w:r>
    </w:p>
    <w:p>
      <w:r>
        <w:rPr>
          <w:b/>
        </w:rPr>
        <w:t>E. 3.2.1</w:t>
      </w:r>
    </w:p>
    <w:p>
      <w:r>
        <w:t>Les curateurs sont soumis à la surveillance générale de l’autorité de protection de l’adulte dans le cadre de l’exécution de leur mandat. Cette autorité doit intervenir d’office lorsqu’elle constate ou apprend que les intérêts de la personne sous curatelle sont menacés par les actes du curateur. L’intervention de l’autorité peut aussi cependant être déclenchée par une plainte portée devant elle au sujet d’une mesure en cours, en vertu de l’art. 419 CC (Droit de la protection de l’adulte, Guide pratique COPMA, 2012, nn. 12.1 et 12.2, p. 281). Selon l’art. 419 CC, la personne concernée, l’un de ses proches ou toute personne ayant un intérêt juridique peut en appeler à l’autorité de protection de l’adulte contre les actes ou omissions du curateur, contre ceux du tiers ou de l’office mandatés par cette autorité.la personne concernée, l’un de ses proches ou toute personne qui a un intérêt juridique peut en appeler à l’autorité de protection de l’adulte contre les actes ou les omissions du curateur ou ceux du tiers ou de l’office mandatés par l’autorité de protection de l’adulte. L’objectif de l’intervention prévue par l’art. 419 CC est de garantir ou de rétablir une exécution conforme du mandat et, par la même, d’assurer la protection des intérêts bien compris de la personne concernée et que le curateur adopte un comportement conforme à la loi (ATF 137 III 67 consid. 3.4.5 ; Fountoulakis, in : CR CC I, op. cit. n. 1 ad art. 419 CC et les références citées ; Guide pratique COPMA, n. 12.2, p. 281). Les actes expressément visés par l’art. 419 CC sont les actes ou les omissions de mandataires divers, savoir non seulement les actes juridiques, mais également les comportements du mandataire dans l’exercice de son mandat, quel que soit l’acte ou comportement en cause et indépendamment du fait qu’il s’agisse d’un mandat d’assistance personnelle, de gestion du patrimoine ou de représentation (Fountoulakis, in : CR CC I, op. cit. n. 7 ad art. 419 CC et les références citées ; Meier, Droit de la protection de l'adulte, 2 e éd., Bâle 2022, n. 1122 p. 600 ;  De Luze/ Page/Stoudmann, Droit de la famille, Lausanne 2013, n. 1.1 ad art. 419 CC, p. 710 ; Guide pratique COPMA 2017, n. 12.3, p. 282). Ainsi, il est possible de se plaindre d’un manque de diligence du curateur dans la gestion des affaires qui lui sont confiées, du non-respect de l’avis de la personne sous curatelle, du montant laissé à sa libre disposition, de la violation du secret professionnel ou encore de remettre en cause des conseils donnés par le curateur ou toute autre forme d’actes informels, comme par exemple le refus de consentir à un acte que voulait effectuer la personne concernée (Fountoulakis, in : CR CC I], op. cit. n. 7 ad art. 419 CC et les références citées).</w:t>
      </w:r>
    </w:p>
    <w:p>
      <w:r>
        <w:rPr>
          <w:b/>
        </w:rPr>
        <w:t>E. 3.2.2</w:t>
      </w:r>
    </w:p>
    <w:p>
      <w:r>
        <w:t>L'art. 311 al. 1 CPC impose au justiciable de motiver son appel, respectivement son recours.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respectivement du recours, est identique aux moyens déjà présentés au juge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publié in SJ 2018 I 21). La motivation doit être suffisamment explicite pour que l'instance d'appel, respectivement de recours, puisse la comprendre aisément, ce qui suppose une désignation précise des passages de la décision qui sont attaqués et des pièces du dossier sur lesquelles repose la critique (ATF 141 III 569 consid. 2.3.3 ; ATF 138 III 374 consid. 4.3.1 ; TF 5A_356/2020 du 9 juillet 2020 consid. 3.2 ; TF 5A_503/2018 du 25 septembre 2018 consid. 6.3 ; TF 5A_573/2017 du 19 octobre 2017 consid. 3.1).</w:t>
      </w:r>
    </w:p>
    <w:p>
      <w:r>
        <w:rPr>
          <w:b/>
        </w:rPr>
        <w:t>E. 3.3</w:t>
      </w:r>
    </w:p>
    <w:p>
      <w:r>
        <w:t>En l’espèce, il y a lieu de constater que le recourant a d'abord sollicité 1'000 fr. à la justice de paix pour se rendre en A.________ à une audience et qu'il réclame maintenant que ce montant soit augmenté à 3'000 francs. Il demande à l’autorité de première instance de revoir sa décision, mais ne développe pas d'argumentation en lien avec l'insuffisance de ce montant pour se présenter à l'audience du 24 avril 2024. La recevabilité de son recours est à cet égard douteuse. Quoi qu’il en soit, force est de retenir que le recourant doit pouvoir déférer à la citation par les autorités [...] à l’audience du 24 avril 2024. A cet égard, le montant alloué de 500 fr. par les premiers juges tient compte, selon une note manuscrite au dossier, d’une estimation du coût des vols Genève-[...] aller et retour par 120 fr., du train [...]-[...] par 100 fr. et de trois nuits d'hôtel pour 210 fr., soit 430 fr. arrondis au montant supérieur de 500 fr., ce qui ne prête pas le flanc à la critique. En outre, le solde du compte du recourant au STCP fait état d’un disponible permettant la mise à disposition de cette somme. Il s'ensuit que le montant alloué est conforme aux intérêts du recourant et doit être confirmé. Pour le surplus, le recourant se borne à affirmer qu'il veut rester un mois en A.________ car sa mère est malade et à réclamer 3'000 fr., sans indiquer quelles seraient les dépenses supplémentaires auxquelles il serait astreint. Dans la mesure où il s'agit d'une nouvelle demande qui ne fait pas l’objet de la décision entreprise et qui paraît au demeurant exorbitante dans son montant ainsi que dans son fondement, le recours est irrecevable sur ce point.</w:t>
      </w:r>
    </w:p>
    <w:p>
      <w:r>
        <w:rPr>
          <w:b/>
        </w:rPr>
        <w:t>E. 4</w:t>
      </w:r>
    </w:p>
    <w:p>
      <w:r>
        <w:t>En conclusion, le recours doit être rejeté dans la mesure où il est recevable et la décision entreprise confirmée. L'arrêt peut être rendu sans frais judiciaires de deuxième instance (art. 74a al. 4 TFJC [tarif du 28 septembre 2010 des frais judiciaires civils ; BLV 270.11.5]). Par ces motifs, la Chambre des curatelles du Tribunal cantonal, statuant à huis clos, prononce : I. Le recours est rejeté dans la mesure où il est recevable. II. La décision est confirmée. III. L'arrêt, rendu sans frais judiciaires de deuxième instance, est exécutoire. La présidente :              La greffière : Du L'arrêt qui précède, dont la rédaction a été approuvée à huis clos, est notifié à : ‑ M. X.________, ‑ SCTP, à l’att. de Mme G.________, ‑ Me T.________, curateur substitut, et communiqué à : ‑ Mme la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