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188 vom 11. März 2024</w:t>
      </w:r>
    </w:p>
    <w:p>
      <w:r>
        <w:t>VD Tribunal cantonal, 2024-03-11, FR</w:t>
      </w:r>
    </w:p>
    <w:p>
      <w:r>
        <w:rPr>
          <w:b/>
        </w:rPr>
        <w:t xml:space="preserve">Quelle: </w:t>
      </w:r>
      <w:r>
        <w:t>https://mcp.opencaselaw.ch/entscheid/vd_findinfo_Arr_t___2024___188</w:t>
      </w:r>
    </w:p>
    <w:p>
      <w:r>
        <w:t>FR: VD_FINDINFO Arrêt / 2024 / 188 du 11 mars 2024</w:t>
      </w:r>
    </w:p>
    <w:p>
      <w:r>
        <w:t>IT: VD_FINDINFO Arrêt / 2024 / 188 del 11 marzo 2024</w:t>
      </w:r>
    </w:p>
    <w:p>
      <w:pPr>
        <w:pStyle w:val="Heading2"/>
      </w:pPr>
      <w:r>
        <w:t>Regeste</w:t>
      </w:r>
    </w:p>
    <w:p>
      <w:r>
        <w:t>RENTE D'INVALIDITÉ, MESURE D'ORDRE PROFESSIONNEL, COMPARAISON DES REVENUS, ÉVALUATION DE L'INVALIDITÉ | 17 LAI, 28 LAI, 16 LPGA</w:t>
      </w:r>
    </w:p>
    <w:p>
      <w:pPr>
        <w:pStyle w:val="Heading2"/>
      </w:pPr>
      <w:r>
        <w:t>Erwägungen</w:t>
      </w:r>
    </w:p>
    <w:p>
      <w:r>
        <w:rPr>
          <w:b/>
        </w:rPr>
        <w:t>E. 11</w:t>
      </w:r>
    </w:p>
    <w:p>
      <w:r>
        <w:t>mars 2024 __________________ Composition : Mme Durussel , présidente Mmes Di Ferro Demierre et Berberat, juges Greffière : Mme              Monod ***** Cause pendante entre : B.________ , à [...], recourante, représentée par Me David Métille, avocat, à Lausanne, et Office de l'assurance-invalidité pour le canton de Vaud , à Vevey, intimé. _______________ Art.</w:t>
      </w:r>
    </w:p>
    <w:p>
      <w:r>
        <w:rPr>
          <w:b/>
        </w:rPr>
        <w:t>E. 16</w:t>
      </w:r>
    </w:p>
    <w:p>
      <w:r>
        <w:t>a) Sur le vu de ce qui précède, le recours, mal fondé, doit être rejeté et la décision de l’intimé du 18 avril 2023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