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170 vom 4. April 2024</w:t>
      </w:r>
    </w:p>
    <w:p>
      <w:r>
        <w:t>VD Tribunal cantonal, 2024-04-04, FR</w:t>
      </w:r>
    </w:p>
    <w:p>
      <w:r>
        <w:rPr>
          <w:b/>
        </w:rPr>
        <w:t xml:space="preserve">Quelle: </w:t>
      </w:r>
      <w:r>
        <w:t>https://mcp.opencaselaw.ch/entscheid/vd_findinfo_Arr_t___2024___170</w:t>
      </w:r>
    </w:p>
    <w:p>
      <w:r>
        <w:t>FR: VD_FINDINFO Arrêt / 2024 / 170 du 4 avril 2024</w:t>
      </w:r>
    </w:p>
    <w:p>
      <w:r>
        <w:t>IT: VD_FINDINFO Arrêt / 2024 / 170 del 4 aprile 2024</w:t>
      </w:r>
    </w:p>
    <w:p>
      <w:pPr>
        <w:pStyle w:val="Heading2"/>
      </w:pPr>
      <w:r>
        <w:t>Regeste</w:t>
      </w:r>
    </w:p>
    <w:p>
      <w:r>
        <w:t>ADMISSION DE LA DEMANDE, EXPERTISE PSYCHIATRIQUE, ATTEINTE À LA SANTÉ PSYCHIQUE, LOI FÉDÉRALE SUR L'ASSURANCE-INVALIDITÉ, LIBRE APPRÉCIATION DES PREUVES | 4 al. 1 LAI, 6 LPGA, 61 let. c LPGA, 7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recourante invoque une incapacité totale de travail depuis le mois de février 2020. Elle a déposé (tardivement) sa demande de prestations AI le 21 mai 2021, si bien qu’elle pourrait prétendre à une rente d’invalidité à compter du 1 er novembre 2021 (art. 29 al. 1 et 3 LAI). L’ancien droit demeure donc applicable au cas d’espèce.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l’intimé, se fondant sur l’expertise du 22 février 2023 du Dr N.________, a nié à la recourante le droit à une rente d’invalidité et à des mesures professionnelles, considérant qu’elle ne souffrait pas d’atteinte invalidante et que sa capacité de travail était totale dans toutes activités. De son côté, la recourante reproche à l’intimé une instruction lacunaire, en ce sens que ce dernier n’a pas tenu compte du rapport du 31 mai 2023 de la Dre K.________, laquelle attestait d’une péjoration de son état de santé postérieure à l’expertise. a) En premier lieu, il convient de relever que l’expertise du Dr N.________ est probante. La Cour constate que l’expert a rendu son rapport sur la base d’une anamnèse détaillée et complète, en tenant compte de l’ensemble de la documentation médicale au dossier, des plaintes exprimées par la recourante, de ses antécédents, du déroulement de sa journée type et de son traitement. Cet expert a procédé à un examen clinique, rencontrant la recourante personnellement au cours de deux entretiens (six heures au total). Il a également réalisé plusieurs tests psychologiques complémentaires et s’est associé à une psychologue, F.________. Les conclusions du Dr N.________,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de manière circonstanciée les raisons justifiant de s’écarter des conclusions des psychiatres traitants et d’exclure certains diagnostics susceptibles d’entrer en ligne de compte. Le Dr N.________ a par la suite procédé à l’évaluation du caractère incapacitant des atteintes au regard des indicateurs jurisprudentiels applicables (cf. supra consid. 6). L’expert n’a pas objectivé de limitations psychiatriques significatives. Tout en relevant que la recourante n’avait jamais été hospitalisée en psychiatrie et qu’elle ne bénéficiait d’aucun traitement par antidépresseur, ni d’aucun suivi psychiatrique depuis le mois de février 2022, mais uniquement d’un suivi psychologique mensuel, il a observé que la recourante disposait néanmoins de bonnes ressources ; la recourante disposait d’un assez bon réseau relationnel et exerçait des activités plaisantes variées, sans anhédonie et sans isolement social significatif. A cet égard, l’expert a relevé qu’elle partageait des repas en famille, avait des activités de loisirs avec son frère, entretenait des contacts téléphoniques fréquents avec sa meilleure amie, qu’elle voyait tous les deux ou trois mois, et fréquentait régulièrement un autre ami pour regarder des séries. Elle faisait régulièrement du sport (renforcement musculaire et danse) et exerçait quelques activités créatives, notamment du dessin sur tablette, de la création de porte-clés et de la couture. En outre, la recourante était pleinement capable d’effectuer seule et sans aide pratiquement toutes les tâches ménagères, y compris s’occuper de ses animaux, et l’administratif, ne demandant de l’aide que pour les grandes courses. Enfin, l’expert a relevé que les plaintes et les limitations fonctionnelles non significatives observées étaient cohérentes, plausibles et concordantes avec l’examen clinique et les tests psychométriques réalisés. b) En ce qui concerne le rapport du 31 mai 2023 de la Dre K.________, celui-ci fait effectivement état d’éléments médicaux nouveaux suggérant une péjoration de l’état de santé de la recourante postérieure à l’expertise. Il mentionne en particulier que cette dernière souffre d’un trouble panique avec agoraphobie majoré, d’une anxiété généralisée depuis 2022 ainsi que d’une phobie sociale sévère et d’un épisode dépressif moyen, si bien qu’elle bénéficie à nouveau d’un suivi psychiatrique bimensuel depuis le 17 janvier 2023 et d’une médication depuis le mois de mars 2023. La psychiatre atteste d’une incapacité totale de travail depuis le 1 er mars 2023. Elle rapporte des constats objectifs en sus des plaintes et annexe des questionnaires sur l’agoraphobie, les inquiétudes, l’anxiété et sur l’attitude de la recourante face aux problèmes. Le SMR, qui a pris connaissance dudit rapport, a d’ailleurs suggéré la reprise de l’instruction compte tenu de cette potentielle aggravation. Toutefois, en tant que ce rapport ne lui avait été transmis que le 13 juin 2023, soit après le délai qu’il avait imparti à la recourante pour faire ses observations et après sa décision, l’intimé a considéré que ces éléments nouveaux devaient faire l’objet d’une nouvelle demande. Cela étant, c’est le lieu de rappeler que selon la jurisprudence, le juge des assurances sociales doit prendre en compte les faits survenus postérieurement dans la mesure où ils sont étroitement liés à l'objet du litige et de nature à influencer l'appréciation au moment où la décision attaquée a été rendue (ATF 99 V 98 consid. 4). En particulier, même s'il a été rendu postérieurement à la date déterminante, un rapport médical doit être pris en considération s'il a trait à la situation antérieure à cette date (TF 9C_628/2020 du 29 juillet 2021 consid. 5.2.2 ; TF 9C_758/2020 du 25 mai 2021 consid. 3.2 ; 9C_34/2017 du 20 avril 2017 consid. 5.2). Or, en l’occurrence, le rapport de la Dre K.________ a certes été porté à la connaissance de l’intimé postérieurement à sa décision du 6 juin 2023 ; daté du 31 mai 2023, il était cependant antérieur à la décision querellée et contenait des éléments médicaux nouveaux apparus avant celle-ci, suggérant une potentielle aggravation et susceptibles d’influencer la décision à prendre, raison pour laquelle l’intimé aurait dû en tenir compte. Il convient ainsi de renvoyer la cause à ce dernier pour qu’il complète l’instruction sur ces nouveaux éléments.</w:t>
      </w:r>
    </w:p>
    <w:p>
      <w:r>
        <w:rPr>
          <w:b/>
        </w:rPr>
        <w:t>E. 8</w:t>
      </w:r>
    </w:p>
    <w:p>
      <w:r>
        <w:t>a) En définitive, le recours doit être admis. La décision rendue le 6 juin 2023 par l’Office de l’assurance-invalidité pour le canton de Vaud est annulée, la cause étant renvoyée à cet office pour complément d’instruction. b) La procédure de recours en matière de contestations portant sur l’octroi ou le refus de prestations de l’assurance-invalidité est soumise à des frais de justice (art. 69 al. 1 bis LAI). En l’occurrence, la recourante n’a pas déposé le rapport médical décrivant les éléments médicaux nouveaux dans le délai imparti par l’intimé pour fournir ses observations, ni même avant la décision de ce dernier alors que le rapport médical est antérieur. Compte tenu des éléments qui étaient alors à la disposition de l’intimé et que la recourante n’a pas apporté d’éléments susceptibles de jeter le doute sur les conclusions de l’expertise, avant qu’il ne rende sa décision, cette dernière était fondée. Dès lors, bien qu’obtenant gain de cause, il se justifie de mettre les frais judiciaires, qu’il convient d’arrêter à 600 fr., à la charge de la recourante. Toutefois, la recourante étant au bénéfice de l’assistance judiciaire, les frais judiciaires mis à sa charge ci-avant sont donc provisoirement supportés par l’Etat. c) La partie recourante, qui obtient gain de cause, a en principe droit à une indemnité de dépens à titre de participation aux honoraires de son conseil (art. 61 let. g LPGA). Cela étant, et pour les mêmes raisons évoquées ci-dessus ( supra consid. 8b), il n’y a pas lieu d’allouer des dépens à la recourante. De plus, l’assistance judiciaire accordée ayant été limitée à l’exonération d’avances et des frais judiciaires, il n’y a pas lieu d’allouer une indemnité d’office au conseil de la recourante. d ) La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