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154 vom 27. Februar 2024</w:t>
      </w:r>
    </w:p>
    <w:p>
      <w:r>
        <w:t>VD Tribunal cantonal, 2024-02-27, FR</w:t>
      </w:r>
    </w:p>
    <w:p>
      <w:r>
        <w:rPr>
          <w:b/>
        </w:rPr>
        <w:t xml:space="preserve">Quelle: </w:t>
      </w:r>
      <w:r>
        <w:t>https://mcp.opencaselaw.ch/entscheid/vd_findinfo_Arr_t___2024___154</w:t>
      </w:r>
    </w:p>
    <w:p>
      <w:r>
        <w:t>FR: VD_FINDINFO Arrêt / 2024 / 154 du 27 février 2024</w:t>
      </w:r>
    </w:p>
    <w:p>
      <w:r>
        <w:t>IT: VD_FINDINFO Arrêt / 2024 / 154 del 27 febbraio 2024</w:t>
      </w:r>
    </w:p>
    <w:p>
      <w:pPr>
        <w:pStyle w:val="Heading2"/>
      </w:pPr>
      <w:r>
        <w:t>Regeste</w:t>
      </w:r>
    </w:p>
    <w:p>
      <w:r>
        <w:t>MESURE PROVISIONNELLE, RELATIONS PERSONNELLES | 273 CC, 445 CC</w:t>
      </w:r>
    </w:p>
    <w:p>
      <w:pPr>
        <w:pStyle w:val="Heading2"/>
      </w:pPr>
      <w:r>
        <w:t>Erwägungen</w:t>
      </w:r>
    </w:p>
    <w:p>
      <w:r>
        <w:rPr>
          <w:b/>
        </w:rPr>
        <w:t>E. 1</w:t>
      </w:r>
    </w:p>
    <w:p>
      <w:r>
        <w:t>Le recours est dirigé contre une ordonnance de mesures provisionnelles de la juge de paix fixant provisoirement le droit de visite de la recourante sur son fils.</w:t>
      </w:r>
    </w:p>
    <w:p>
      <w:r>
        <w:rPr>
          <w:b/>
        </w:rPr>
        <w:t>E. 1.1</w:t>
      </w:r>
    </w:p>
    <w:p>
      <w:r>
        <w:t>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contre toute décision de l’autorité de protection relative aux mesures provisionnelles (Droese, Basler Kommentar, Zivilgesetzbuch I, Art. 1-456 CC, 7 e éd., Bâle 2022,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aI. 3 CC), les exigences de motivation ne devant cependant pas être trop élevées (Droese, Basler Kommentar, op. cit., n. 42 ad art. 450 CC, p. 2940). L'art. 446 al. 1 CC, applicable par renvoi de l'art. 314 aI.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27 juillet 2020/151 ; cf. JdT 2011 Ill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l’autorité de protection l'occasion de prendre position (al. 1), cette autorité pouvant, au lieu de prendre position, reconsidérer sa décision (al. 2).</w:t>
      </w:r>
    </w:p>
    <w:p>
      <w:r>
        <w:rPr>
          <w:b/>
        </w:rPr>
        <w:t>E. 1.2</w:t>
      </w:r>
    </w:p>
    <w:p>
      <w:r>
        <w:t>En l’espèce, motivé et interjeté en temps utile par la mère de l’enfant concerné, le recours est recevable. Il en va de même de la réponse de l’intimé. Les pièces produites par les deux parties sont également recevables pour autant qu’elles ne figurent pas déjà au dossier de première instance. En outre, la juge de paix a eu l’occasion de prendre position et la curatrice de l’enfant a déposé des déterminations.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2.2.1</w:t>
      </w:r>
    </w:p>
    <w:p>
      <w:r>
        <w:t>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5A_53/2017 du 23 mars 2017 consid. 4.1).</w:t>
      </w:r>
    </w:p>
    <w:p>
      <w:r>
        <w:rPr>
          <w:b/>
        </w:rPr>
        <w:t>E. 2.2.2</w:t>
      </w:r>
    </w:p>
    <w:p>
      <w:r>
        <w:t>En l’espèce, l’ordonnance litigieuse a été rendue par la juge de paix laquelle a entendu M.________ et le conseil d’A.H.________, celle-ci étant sous le coup d’une interdiction d’entrée en Suisse. La curatrice de B.H.________ a également été entendue et a, à plusieurs reprises, déposé des déterminations après s’être entretenue avec l’enfant. Par ailleurs, B.H.________ a été entendu par l’autorité de première instance ainsi que par la juge déléguée de la Chambre des curatelles, conformément à la requête d’instruction de la recourante. Partant, le droit d’être entendu des parties a été respecté. L’ordonnance entreprise est donc formellement correcte et peut être examinée sur le fond.</w:t>
      </w:r>
    </w:p>
    <w:p>
      <w:r>
        <w:rPr>
          <w:b/>
        </w:rPr>
        <w:t>E. 3</w:t>
      </w:r>
    </w:p>
    <w:p>
      <w:r>
        <w:t>e éd., Lausanne 2002, nn. 3 et 4 ad art. 492 CPC-VD, p. 763, point de vue qui demeure valable sous l'empire du nouveau droit).</w:t>
      </w:r>
    </w:p>
    <w:p>
      <w:r>
        <w:rPr>
          <w:b/>
        </w:rPr>
        <w:t>E. 3.1</w:t>
      </w:r>
    </w:p>
    <w:p>
      <w:r>
        <w:t>La recourante conteste les modalités du droit de visite fixé en sa faveur par la première juge. Elle reproche à cette dernière d’avoir violé le droit lorsqu’elle soutient qu’il paraît étonnant qu’elle ne puisse pas obtenir de sauf-conduit et que ce n’est pas à B.H.________ d’en subir les conséquences, ses antécédents pénaux ne devant, selon elle, pas être un critère permettant de refuser ou de fixer les modalités de son droit de visite sur son fils. Elle estime en outre que l’autorité inférieure a perdu de vue que l’élément central permettant de déterminer les modalités du droit de visite devait être le bien-être de B.H.________. Or, le souhait le plus cher de l’enfant serait de voir sa mère alors qu’il ne l’a plus revue depuis la fin du mois de mai 2023. En outre, il se serait déclaré prêt à effectuer seul les trajets en France, étant rappelé qu’il s’agit de la seule solution pour qu’ils puissent se rencontrer physiquement, compte tenu de l’expulsion judiciaire prononcée à son encontre. Elle soulève encore que l’ordonnance entreprise ne tient pas assez compte des circonstances particulières du cas d’espèce et du conflit de compétence négatif auquel elle est exposée. Enfin, elle estime qu’aucun élément du dossier ne permet d’affirmer que le développement physique, moral ou psychique de l’enfant serait concrètement mis en danger, l’autorité inférieure ne faisant, selon elle, que de spéculer sur des éléments inexistants.</w:t>
      </w:r>
    </w:p>
    <w:p>
      <w:r>
        <w:rPr>
          <w:b/>
        </w:rPr>
        <w:t>E. 3.2.1</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 e éd., Genève/Zurich/Bâle 2019,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TF 5A_498/2019 du 6 novembre 2019 consid. 4.2 ; TF 5A_334/2018 du 7 août 2018 consid. 3.1 ; TF 5A_184/2017 du 9 juin 2017 consid. 4.1 ; TF 5A_53/2017 du 23 mars 2017 consid. 5.1). Le droit pour les parents d'entretenir des relations personnelles avec leur enfant n'est pas absolu et peut être temporairement ou durablement refusé ou limité (Meier/Stettler, op. cit., nn. 966 ss, pp. 617 ss).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La pratique du droit de la famille [FamPra.ch] 2013 p. 806 ; TF 5A_172/2012 du 16 mai 2012 consid. 4.1.1, résumé in Revue de la protection des mineurs et des adultes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citées ; TF 5A_504/2019 du 24 août 2020 consid. 5.1 et les références citées ; TF 5A_23/2020 du 3 juin 2020 consid. 4 ; TF 5A_266/2019 du 5 août 2019 consid. 3.3.1 ; TF 5A_111/2019 du 9 juillet 2019 consid. 2.3 ; TF 5A_210/2018 du 14 décembre 2018 consid. 2.1). En revanche, si le préjudice engendré pour l'enfant par les relations personnelles peut être limité par la mise en œuvre d'un droit de visite surveillé ou accompagné, le droit de la personnalité du parent non-détenteur de l'autorité parentale, le principe de la proportionnalité, mais également le sens et le but des relations personnelles, interdisent la suppression complète de ce droit (ATF 122 III 404 consid. 3c ; TF 5A_334/2018 du 7 août 2018 consid. 3.1 ; TF 5A_699/2017 du 24 octobre 2017 consid. 5.1 ; TF 5A_184/2017 du 9 juin 2017 consid. 4.1 et les références citées). L'établissement d'un droit de visite surveillé nécessite des indices concrets de mise en danger du bien de l'enfant. Dès lors, il convient de faire preuve d'une certaine retenue lors du choix de cette mesure (TF 5A_334/2018 du 7 août 2018 consid. 3.1 ; TF 5A 699/2017 du 24 octobre 2017 consid. 5.7 ; TF 5A_401/2014 du 18 août 2014 consid.</w:t>
      </w:r>
    </w:p>
    <w:p>
      <w:r>
        <w:rPr>
          <w:b/>
        </w:rPr>
        <w:t>E. 3.2.2</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3.3.1</w:t>
      </w:r>
    </w:p>
    <w:p>
      <w:r>
        <w:t>En l’espèce, il ressort du dossier qu’A.H.________ exerce depuis de nombreuses années son droit de visite de manière médiatisée et que celui-ci a été difficile à mettre en œuvre en raison de ses incarcérations ou de son expulsion judiciaire de Suisse. Ainsi, B.H.________ n’a jamais été seul avec sa mère, à tout le moins depuis 2017, et n’a pas rencontré cette dernière depuis son refoulement en France en mai 2023. Contrairement à ce que soutient A.H.________, la situation actuelle ne permet pas de mettre en place un droit de visite libre à son domicile à [...]. En premier lieu, une telle ouverture devrait se faire de manière progressive dans la mesure où l’enfant n’a pas vu sa mère seul depuis sept ans. De plus, on ignore tout des conditions dans lesquelles elle pourrait accueillir son fils, puisqu’elle n’a produit aucune pièce à cet égard. Ensuite, la recourante persiste à tenir des propos inadéquats à B.H.________ et à le mêler à la procédure malgré de nombreuses remises à l’ordre. Elle fait totalement fi de ce que ressent son fils et des conséquences délétères de ce comportement sur son développement et n’hésite pas à le culpabiliser et à le placer dans un conflit de loyauté, alors qu’elle ne peut ignorer que cela est néfaste pour son bien-être ainsi que contraire à ses intérêts. Par ailleurs, la recourante ne semble pas capable de se remettre en question et d’admettre sa responsabilité dans la situation actuelle, en s’estimant victime de son passé pénal au moment de fixer le droit de visite. Or, le fait qu’elle soit interdite d’entrée en Suisse est bien la conséquence de ses agissements et entraîne indéniablement une répercussion sur l’organisation du droit aux relations personnelles. Si le bien-être de B.H.________ commande qu’il puisse toujours avoir un contact physique avec sa mère, la situation actuelle et le comportement de la recourante requièrent en revanche que celui-ci soit impérativement surveillé afin d’éviter tout débordement dommageable pour l’enfant. En outre, il y a lieu de rappeler que la recourante a tenté par le passé d’enlever A.H.________ et que rien ne garantit, à ce stade, qu’elle ne l’empêchera pas de rentrer en Suisse après un droit de visite. Enfin, quoi qu’en dise la recourante, B.H.________ est encore jeune et ne semble pas à l’aise avec l’éventualité de se rendre en France seul, même s’il s’est dit prêt, dans un premier temps, à le faire avant de revenir sur ce point dans son audition par la juge déléguée de la Chambre des curatelles affirmant qu’il trouvait cela compliqué et qu’il n’aimerait « pas trop ». Le fait qu’elle veuille à tout prix lui imposer ce trajet, sans surveillance, démontre d’autant plus qu’elle est centrée sur ses propres intérêts au détriment de ceux de l’enfant. Dans ces circonstances, il y a lieu de rejeter le recours d’A.H.________ sur ce point et de maintenir un droit de visite par l’intermédiaire de Point Rencontre tel que fixé par la première juge. A ce sujet, le sauf-conduit (art. 204 CPP [Code de procédure pénale suisse du 5 octobre 2007 ; RS 312.0]) nécessaire à la recourante pour se rendre en Suisse avec la garantie qu’elle ne fera, durant une période déterminée, l’objet ni d’une privation de liberté, ni d’une poursuite pénale relative à des faits antérieurs à son séjour (Chatton/Sieber, in Commentaire romand, Code de procédure pénale suisse, 2 e éd., Bâle 2019, n. 1 ad art. 204 CPP) doit être délivré par l’autorité qui est chargée de la mise en œuvre de l’acte de procédure rendant nécessaire la délivrance du sauf-conduit dans l’intérêt de l’enfant (voir art. 3 et 9 CDE [Convention relative aux droits de l’enfant du 20 novembre 1989] ; TAF F-4561/2019 du</w:t>
      </w:r>
    </w:p>
    <w:p>
      <w:r>
        <w:rPr>
          <w:b/>
        </w:rPr>
        <w:t>E. 3.3.2.1</w:t>
      </w:r>
    </w:p>
    <w:p>
      <w:r>
        <w:t>La recourante a conclu à ce que les relations personnelles sur son fils par l’intermédiaire d’appels Skype et d’appels téléphoniques soient exercées librement en fonction de son agenda et celui de l’enfant. Dans sa requête de mesures provisionnelles du 15 février 2024 Me Micaela Vaerini a conclu à ce que toute forme de contact entre la mère et l’enfant soit suspendue, au motif que les messages d’A.H.________ affectent B.H.________ qui ne souhaite plus reprendre contact avec cette dernière.</w:t>
      </w:r>
    </w:p>
    <w:p>
      <w:r>
        <w:rPr>
          <w:b/>
        </w:rPr>
        <w:t>E. 3.3.2.2</w:t>
      </w:r>
    </w:p>
    <w:p>
      <w:r>
        <w:t>Comme le démontrent les derniers échanges de messages entre la mère et le fils produits par la curatrice, A.H.________ est dans l’incapacité de maîtriser ses propos, de sorte qu’il paraît impératif de maintenir un cadre et éviter autant que possible que cette dernière puisse joindre librement l’enfant. Son grief doit par conséquent être rejeté. Me Micaela Vaerini n’ayant pas déposé de conclusion au fond, sa requête de mesures provisionnelles devient sans objet. Toutefois, on rappellera à l’intention de B.H.________ qu’il n’est en aucun cas dans l’obligation de répondre à sa mère ni par téléphone, ni par message, s’il ne le souhaite pas. 4. 4.1 Partant, le recours est rejeté, mais réformé d’office dans le sens des considérants qui précèdent. L’ordonnance est maintenue pour le surplus. 4.2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 A cet égard, le juge apprécie l'étendue des opérations nécessaires pour la conduite du procès. Il applique le tarif horaire de 180 fr. pour un avocat et de 110 fr. pour un avocat-stagiaire (art. 2 al. 1 let. a et b RAJ). Le Tribunal fédéral a retenu que, pour fixer la quotité de l’indemnité du conseil d'office, l’autorité cantonale doit s’inspirer des critères applicables à la modération des honoraires d’avocat (ATF 122 I 1 consid. 3a ; TF 5D_28/2014 du 26 mai 2014 consid. 2.1).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117 la 22 consid. 4 ; TF 5D_149/2016 du 30 janvier 2017 consid. 3.3 ; TF 5D_4/2016 du 26 février 2016 consid. 4.3.3).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5A_82/2018 du 15 juin 2018 consid. 6.2.2 ; TF 5D_4/2016 du 26 février 2016 consid. 4.3.3). 4.3 Dans sa liste des opérations du 22 février 2024, Me Jeremy Chassot, conseil d’office d’A.H.________ a indiqué avoir consacré, pour la procédure de recours, 12 heures 18 au dossier, du 8 au 22 décembre 2023, ainsi que 6 heures 24 au dossier, du 5 janvier au 22 février 2024. En particulier, il a indiqué avoir consacré 8 heures 30 à la rédaction du mémoire de recours (opérations des 9,10,11 et 13 novembre 2023) et avoir consacré 2 heures à la prise de connaissance de la décision querellée le 8 novembre 2023. En l’état, le temps consacré à la rédaction du mémoire est largement excessif dans la mesure où le dossier était connu de l’avocat et que les recherches en matière du droit aux relations personnelles, dont la jurisprudence et les principes sont désormais notoires, ne sont pas complexes. Ainsi, le temps consacré à cette opération doit être réduit à 4 heures 30, soit une durée usuelle pour ce genre d’affaire. En outre, la prise de connaissance de la décision querellée n’a pas dû prendre plus de 30 minutes pour un avocat expérimenté. En conséquence, il y a lieu de retrancher un total de 5 heures 30 pour les opérations annoncées en 2023 et d’indemniser un total de 6 heures 48. S’agissant des opérations annoncées en 2024, elles peuvent entièrement être indemnisées. Il s’ensuit, qu’au tarif horaire de 180 fr. de l’heure, l’indemnité totale de Me Chassot doit être arrêtée à 2'615 fr., TVA (7.7% pour les opérations de 2023 et 8.1% pour les opérations de 2024) et débours compris (art. 2 al. 1 let. a, 2 al. 3 et 3bis al. 1 RAJ ; art. 25 al. 1 LTVA [Loi fédérale du 12 juin 2009 régissant la taxe sur la valeur ajoutée ; RS 641.20]). 5. 5.1 Les frais judiciaires de deuxième instance, par 600 fr., sont mis à la charge d’A.H.________, qui succombe (art. 106 al.1 CPC ; art. 74a al. 1 TFCJ [Tarif des frais judiciaires civils du 28 septembre 2010 ; BLV 270.11.5]). Celle-ci bénéficiant néanmoins de l’assistance judiciaire, ils sont provisoirement laissés à la charge de l’Etat. 5.2 La bénéficiaire de l’assistance judiciaire est, dans la mesure de l’art. 123 CPC, tenue au remboursement des frais judiciaires de deuxième instance et de l’indemnité à son conseil d’office, laissés à la charge de l’Etat.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rejeté. II. L’ordonnance est réformée d’office par l’ajout d’un chiffre II.ter : II.ter dit qu’en cas d’impossibilité de mise en œuvre du droit de visite en Suisse tel que fixé au chiffre I. ci-dessus, A.H.________ pourra voir son fils en France de façon médiatisée à raison de deux fois par mois, selon des modalités à organiser entre le Service social international, ou tout autre organisme compétent en la matière, et la curatrice de l’enfant ; L’ordonnance est maintenue pour le surplus. III. Les frais judiciaires de deuxième instance, arrêtés à 600 fr. (six cents francs), sont mis à la charge de la recourante A.H.________, ces frais étant provisoirement laissés à la charge de l’Etat. IV. L’indemnité de Me Jeremy Chassot, conseil d’office d’A.H.________, est arrêtée à 2’615 fr. (deux mille six cent quinze francs), débours et TVA inclus, et laissée provisoirement à la charge de l’Etat. V. A.H.________ est tenue, dans la mesure de l’art. 123 CPC, au remboursement des frais judiciaires arrêtés sous chiffre III ci-dessus et de l’indemnité d’office allouée au chiffre IV ci-dessus à son conseil d’office, laissés provisoirement à la charge de l’Etat. VI. L’arrêt est exécutoire. La juge présidant :              La greffière : Du L'arrêt qui précède, dont la rédaction a été approuvée à huis clos, est notifié à : ‑ Me Jeremy Chassot (pour A.H.________), ‑ Me Micaela Vaerini (pour B.H.________), ‑ M. M.________,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8</w:t>
      </w:r>
    </w:p>
    <w:p>
      <w:r>
        <w:t>mars 2021 consid. 5.3.1), en l’occurrence la juge de paix. L’octroi d’un sauf-conduit ne saurait être délivré de manière indéterminée et sans conditions (art. 204 al. 3 CPP ; ATF 141 IV 390 consid. 2.1), de sorte que la première juge est amenée à rendre un sauf-conduit pour chaque visite prévue à Point Rencontre avec une validité temporelle adaptée. En outre, il semble approprié que la juge de paix qui accorde le sauf-conduit en informe les autres autorités concernées, singulièrement le Secrétariat d’Etat aux migrations (Chatton/Sieber, op.cit., n. 22c ad art. 204 CPP). La décision sera en outre réformée d’office en ce sens, qu’en cas d’impossibilité de mise en œuvre du droit de visite surveillé en Suisse aux conditions précitées, il appartiendra à la curatrice de l’enfant, Me Micaela Vaerini, de mettre en place un droit de visite médiatisé en France, avec l’appui du Service social international ou tout autre organisme compétent en la matière.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