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125 vom 10. April 2024</w:t>
      </w:r>
    </w:p>
    <w:p>
      <w:r>
        <w:t>VD Tribunal cantonal, 2024-04-10, FR</w:t>
      </w:r>
    </w:p>
    <w:p>
      <w:r>
        <w:rPr>
          <w:b/>
        </w:rPr>
        <w:t xml:space="preserve">Quelle: </w:t>
      </w:r>
      <w:r>
        <w:t>https://mcp.opencaselaw.ch/entscheid/vd_findinfo_Arr_t___2024___125</w:t>
      </w:r>
    </w:p>
    <w:p>
      <w:r>
        <w:t>FR: VD_FINDINFO Arrêt / 2024 / 125 du 10 avril 2024</w:t>
      </w:r>
    </w:p>
    <w:p>
      <w:r>
        <w:t>IT: VD_FINDINFO Arrêt / 2024 / 125 del 10 aprile 2024</w:t>
      </w:r>
    </w:p>
    <w:p>
      <w:pPr>
        <w:pStyle w:val="Heading2"/>
      </w:pPr>
      <w:r>
        <w:t>Regeste</w:t>
      </w:r>
    </w:p>
    <w:p>
      <w:r>
        <w:t>ATTEINTE À LA SANTÉ PHYSIQUE, ATTEINTE À LA SANTÉ PSYCHIQUE, LIBRE APPRÉCIATION DES PREUVES, DEGRÉ DE L'INVALIDITÉ, REJET DE LA DEMANDE, EXPERTISE MÉDICALE | 4 al. 1 LAI, 6 LPGA, 7 LPGA, 8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l’espèce, il appert que la décision entreprise prend comme point de départ du délai de carence d’une année (art. 28 al. 1 let. b LAI) le mois d’octobre 2019. Le droit éventuel à une rente d’invalidité pouvait dès lors prendre naissance à compter du 1 er octobre 2020. C’est donc l’ancien droit qui est applicable au cas d’espèce.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 31 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 cc) Pour un assuré qui n'exerçait que partiellement une activité lucrative, l'invalidité est, pour cette part, évaluée selon la méthode générale de comparaison des revenus. S'il se consacrait en outre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 bis RAI, dans sa teneur en vigueur jusqu’au 31 décembre 2021 ; voir par ailleurs ATF 131 V 51 consid. 5.1.2). 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e) En l’espèce, l’intimé a fait application de la méthode ordinaire de comparaison des revenus. Dans la mesure où le recourant avait indiqué qu’il travaillerait à 60 % s’il n’était pas atteint dans sa santé et qu’il consacrerait les 40 % restants à ses enfants et à la tenue du ménage, on pourrait toutefois légitimement envisager l’application de la méthode mixte. Cela étant, compte tenu de la situation personnelle du recourant (père divorcé d’enfants scolarisés, avec lesquels il ne fait pas ménage commun en permanence, et touchant le revenu d’insertion), on peut se rallier à l’appréciation de l’intimé, en ce qu’il a retenu un statut d’actif, au demeurant favorable au recourant. Même si la méthode mixte avait dû être appliquée in casu , elle ne modifierait pas le résultat du recours. En effet, le recourant a informé l’expert psychiatre qu’il faisait le ménage, les sanitaires, la cuisine, la lessive et les courses. L’expert orthopédique a par ailleurs expressément indiqué que le recourant était capable de s’occuper de l’alimentation, d’entretenir son logement (par petite période), d’effectuer les achats (à l’exception des charges lourdes excédant 10 kilos), de faire la lessive et d’apporter les soins aux enfants et autres membres de la famille. En outre, si le recourant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9C_568/2017 du 11 janvier 2018 consid. 5.4). Ainsi, l’empêchement du recourant dans l’entretien de son ménage dû à son invalidité n’aurait dans tous les cas pas pu être suffisamment importante pour que l’application de la méthode mixte aboutisse à un degré d’invalidité suffisant pour ouvrir le droit à une rente.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En l’espèce, l’intimé s’est fondé sur l’expertise bi-disciplinaire du 16 juillet 2021 des Drs H.________ et Q.________, lesquels ont considéré que le recourant disposait d’une capacité de travail entière, tant dans son activité de compositeur-musicien que dans une activité adaptée, avec toutefois une diminution de rendement de 20 % afin de tenir compte de plages de repos plus importantes qu’habituellement. Or, à l’instar de l’intimé, il y a lieu d’accorder une pleine valeur probante à ladite expertise. Le tribunal constate que les experts ont rendu leur rapport sur la base d’une anamnèse détaillée et complète, en tenant compte de l’ensemble de la documentation médicale au dossier, des plaintes du recourant, de ses antécédents, du déroulement de sa journée type et de ses traitements. Chacun des experts a procédé à un examen clinique détaillé et rencontré personnellement le recourant. Leurs conclusions, établies de manière consensuelle sur la base d’une description claire du contexte médical, sont dûment motivées, claires et exemptes de contradiction. Sur le plan orthopédique, l’expert a relevé que la symptomatologie algique n’était corroborée, ni par son examen clinique, ni par des atteintes dégénératives significatives. Sur le plan psychiatrique, l’experte a évalué la capacité de travail au regard du catalogue d’indicateurs jurisprudentiels (ATF 141 V 281 consid. 4.3 et 4.4). A cet égard, après avoir exclu plusieurs diagnostics susceptibles d’entrer en ligne de compte, elle n’a constaté aucun trouble psychiatrique suffisamment grave pour être considéré comme incapacitant. Elle a également relevé que le recourant disposait de nombreuses ressources tant sur le plan interne qu’externe (réseau social stable, autonome pour les actes de la vie quotidienne, capacité d’adaptation aux règles, de planification et de structuration des tâches). Les possibilités thérapeutiques n’étaient pas non plus épuisées et l’abstinence totale à l’alcool était conseillée pour améliorer ses performances cognitives et diminuer sa tendance anxieuse. Le recourant conteste les conclusions de l’expertise, invoquant notamment le fait qu’il n’avait pas indiqué aux experts qu’il prenait des antalgiques au moment de l’expertise, lesquels avaient diminué ses douleurs et ainsi tronqué les conclusions de celle-ci. Toutefois, un tel élément n’est pas susceptible de remettre en cause les conclusions des experts, en particulier celles de l’expert orthopédique, prises sur la base d’un examen clinique complet et sur les documents d’imagerie à sa disposition. De plus, cet élément démontre au contraire que la prise d’un antalgique simple de type Dafalgan permet de soulager efficacement ses douleurs ostéoarticulaires, lesquelles ne saurait dès lors être considérées comme à l’origine d’une incapacité de travail durable. Quant au rapport du 11 mars 2022 du Dr P.________, il ne permet pas de jeter le doute sur les conclusions de l’expertise. En effet, force est de constater que l’expert psychiatre a bien tenu compte des manifestations anxieuses, de même que de l’interaction entre les différents diagnostics. Il a ensuite évalué la capacité de travail du recourant à l’aune des indicateurs jurisprudentiels applicables, ce que le Dr P.________ n’a pas fait. En réalité, ce dernier oppose sa propre appréciation à celle de l’expert, sans apporter d’éléments qui auraient été ignorés.</w:t>
      </w:r>
    </w:p>
    <w:p>
      <w:r>
        <w:rPr>
          <w:b/>
        </w:rPr>
        <w:t>E. 7</w:t>
      </w:r>
    </w:p>
    <w:p>
      <w:r>
        <w:t>a) Selon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f) En l’espèce, pour déterminer le degré d’invalidité, l’intimé s’est fondé sur les statistiques de l’ESS 2018 (TA1_skill_level, homme, niveau de compétence 1), aussi bien pour le revenu sans invalidité (68'952 fr. 58) que celui avec invalidité (55'138 fr. 87 [68'952 fr. 58 - 20 %]. Il a ainsi retenu un taux d’invalidité de 20 %, ce qui l’a conduit à refuser au recourant le droit à une rente d’invalidité. Il a estimé qu’un abattement supplémentaire sur le revenu avec invalidité ne se justifiait pas. De son côté, le recourant reproche à l’intimé de ne pas avoir pris suffisamment en compte ses limitations fonctionnelles, son âge et son manque d’expérience dans l’évaluation de sa capacité de travail et considère qu’un abattement supplémentaire aurait dû être opéré sur son revenu d’invalide théorique à ce titre. Cela étant, il y a lieu tout d’abord de rappeler, s’agissant des limitations fonctionnelles, que la jurisprudence considère que lorsque la personne concernée est capable de travailler, mais avec une diminution de rendement, celle-ci est prise en compte dans la fixation de la capacité de travail, de sorte qu'en principe, il n'y a pas lieu d'effectuer en sus un abattement en raison des limitations fonctionnelles à l'origine de la diminution de rendement (TF 8C_122/2019 du 10 septembre 2019 consid. 4.3.1.2 et les références citées). Or, quoi qu’en dise le recourant, les experts ont déjà tenu compte d’une diminution de rendement de 20 % dues aux limitations fonctionnelles. Aucun élément au dossier ne justifie d’accorder un abattement supplémentaire à ce titre, ce d’autant plus que l’intimé a déterminé le revenu d’invalide en référence au salaire statistique auquel peuvent prétendre les hommes effectuant des activités simples et répétitives. Partant, il convient de retenir que les limitations fonctionnelles du recourant ne l’empêchent pas de travailler à un taux d’activité de 100 %, avec une baisse de rendement de 20 %, tant dans son activité habituelle que dans une activité adaptée respectant ses limitations fonctionnelles. L’argument du recourant selon lequel il serait irréaliste qu’il retrouve un emploi vu son âge et son manque d’expérience doit être rejeté.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Il ne s’agit ainsi pas d’apprécier si un employeur est effectivement disposé à confier un travail au recourant, mais uniquement d’apprécier si, compte tenu de son état de santé, ce dernier est à même d’exercer une activité déterminée (Michel Valterio, Commentaire de la Loi fédérale sur l’assurance-invalidité [LAI], Genève/Zurich/Bâle 2018, n° 65 ad art. 28a LAI). Or on rappelle que les experts ont observé que l’activité habituelle du recourant était adaptée aux limitations fonctionnelles de sorte que son manque d’expérience ne peut être invoqué. En outre, même en considérant l’exercice d’autres activités, le salaire statistique appliqué dans le cas présent correspond à des tâches légères et recouvre un large éventail d’activités adaptées aux compétences du recourant et à ses limitations fonctionnelles. L’absence d'expérience ne joue pas de rôle lorsque le revenu d'invalide est déterminé, comme en l’espèce, en référence à une catégorie d'emplois ne nécessitant ni formation ni expérience professionnelle spécifique (TF 8C_122/2019 précité consid. 4.3.2 et la référence citée). De plus, comme le relève l’intimé, le recourant souhaite avant tout poursuivre une activité de compositeur-musicien indépendant et n’a jamais été dans une démarche dynamique de recherche d’emploi, raisons pour lesquelles l’intimé ne lui a d’ailleurs pas proposé d’aide au placement et lui a refusé le droit à des mesures professionnelles. Ainsi, ce sont davantage les souhaits personnels du recourant qui sont susceptibles de compliquer sa réinsertion sur le marché primaire de l’emploi. S’agissant de l’absence prolongée du marché du travail, la notion de marché du travail équilibré est un concept théorique et abstrait, de sorte qu’une longue absence du marché du travail n’est pas relevante (ATF 134 V 64 consid. 4.2.1 ; 110 V 273 consid. 4b). La longue absence ou éloignement du marché du travail ne constitue en effet pas un facteur déterminant pour l’abattement (ATF 126 V 75 consid. 5b/aa ; TF 9C_892/2012 du 30 avril 2013 consid. 5.4). En outre, l’âge n’a en principe pas d’incidence sur le revenu en cas d’application du niveau de compétence 1 de l’ESS (TF 9C_284/2018 du 17 juillet 2018 consid. 2.2.3). Ainsi, il n’y a pas de motif à déduire un abattement au revenu avec invalidité calculé par l’intimé. Enfin, s’agissant de l’exigibilité de la reprise d’une activité compte tenu de l’âge du recourant, il convient d’observer que la jurisprudence rendue en lien avec les assurés proches de l’âge de la retraite s’applique usuellement lorsqu’une exigibilité a été déterminée dans une nouvelle activité professionnelle adaptée, non pas dans l’exercice de l’activité habituelle (cf. par exemple : TF 9C_913/2012 du 9 avril 2013 consid. 5.3 et 5.4 ; cf. également : Michel Valterio, Commentaire de la Loi fédérale sur l’assurance-invalidité [LAI], Genève/Zurich/Bâle 2018, n° 69 ss ad art. 28a LAI, p. 435 ss : casuistique). Or le recourant ne remet pas sérieusement en question l’adéquation de son activité habituelle, sédentaire et légère, avec son état de santé, dont les experts ont retenu l’exigibilité au taux de 100 % avec une baisse de rendement de 20 %. Il ne s’agit donc pas de déterminer s’il a des chances de retrouver un emploi adapté à son handicap, puisqu’il bénéficie d’une capacité de travail entière adaptée dans son activité habituelle. Dès lors, il n’y a pas lieu d’examiner son cas à l’aune de la jurisprudence relative aux assurés proches de l’âge de la retraite.</w:t>
      </w:r>
    </w:p>
    <w:p>
      <w:r>
        <w:rPr>
          <w:b/>
        </w:rPr>
        <w:t>E. 8</w:t>
      </w:r>
    </w:p>
    <w:p>
      <w:r>
        <w:t>a) En définitive, le recours doit être rejeté et la décision entreprise confirmée. b) Compte tenu de la situation financière précaire du recourant (cf. attestation du 24 mai 2022 du Service social de [...]), il convient de donner une suite favorable à sa conclusion tendant à l’octroi de l’assistance judiciaire, laquelle porte exclusivement sur l’exonération des frais judiciaires. c) La procédure de recours en matière de contestations portant sur des prestations de l’assurance-invalidité est soumise à des frais de justice (art. 69 al. 1 bis LAI). En l’espèce, les frais judiciaires, arrêtés à 600 fr., sont imputés au recourant qui succombe. Ils sont toutefois provisoirement laissés à la charge de l’Etat, puisque le recourant bénéficie de l’assistance judiciaire. d) Il n’y a pas lieu d’allouer de dépens à la partie recourante, qui n’obtient pas gain de cause et a procédé sans mandataire qualifié (art. 61 let. g LPGA ; ATF 127 V 205 consid. 4b). e) Le recourant est toutefois rendu attentif au fait qu’il devra rembourser les frais judiciaires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