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1104 vom 6. Januar 2025</w:t>
      </w:r>
    </w:p>
    <w:p>
      <w:r>
        <w:t>VD Tribunal cantonal, 2025-01-06, FR</w:t>
      </w:r>
    </w:p>
    <w:p>
      <w:r>
        <w:rPr>
          <w:b/>
        </w:rPr>
        <w:t xml:space="preserve">Quelle: </w:t>
      </w:r>
      <w:r>
        <w:t>https://mcp.opencaselaw.ch/entscheid/vd_findinfo_Arr_t___2024___1104</w:t>
      </w:r>
    </w:p>
    <w:p>
      <w:r>
        <w:t>FR: VD_FINDINFO Arrêt / 2024 / 1104 du 6 janvier 2025</w:t>
      </w:r>
    </w:p>
    <w:p>
      <w:r>
        <w:t>IT: VD_FINDINFO Arrêt / 2024 / 1104 del 6 gennaio 2025</w:t>
      </w:r>
    </w:p>
    <w:p>
      <w:pPr>
        <w:pStyle w:val="Heading2"/>
      </w:pPr>
      <w:r>
        <w:t>Regeste</w:t>
      </w:r>
    </w:p>
    <w:p>
      <w:r>
        <w:t>CURATELLE DE REPRÉSENTATION{ART. 394 CC}, MESURE PROVISIONNELLE, RAISON INDIVIDUELLE, LIQUIDATION{EN GÉNÉRAL}, CONJOINT, CONFLIT D'INTÉRÊTS, REJET DE LA DEMANDE | 394 al. 1 CC, 445 al. 1 CC, 445 CC</w:t>
      </w:r>
    </w:p>
    <w:p>
      <w:pPr>
        <w:pStyle w:val="Heading2"/>
      </w:pPr>
      <w:r>
        <w:t>Erwägungen</w:t>
      </w:r>
    </w:p>
    <w:p>
      <w:r>
        <w:rPr>
          <w:b/>
        </w:rPr>
        <w:t>E. 1.1</w:t>
      </w:r>
    </w:p>
    <w:p>
      <w:r>
        <w:t>Le recours est dirigé contre une ordonnance de mesures provisionnelles de la justice de paix instituant une curatelle de représentation provisoire au sens des art. 394 al. 1 et 445 al. 1 CC.</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 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 n. 42 ad art. 450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En l’espèce, interpellé sur sa volonté de contester la décision prise à titre provisionnel ou sur son souhait d’informer la juge de paix dans le cadre de la poursuite de l’enquête, l’intéressé a confirmé recourir contre la curatelle de représentation provisoire. Succinctement motivé et interjeté en temps utile, par la personne concernée, partie à la procédure, le recours est recevable. Si le texte est peu lisible, il faut souligner que la langue maternelle du recourant est l’allemand. Le recours étant manifestement infondé, au vu des considérations qui seront développées ci-après, il a été renoncé à consulter l’autorité de protection et les autres parties à la procédure n’ont pas été invitées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w:t>
      </w:r>
    </w:p>
    <w:p>
      <w:r>
        <w:rPr>
          <w:b/>
        </w:rPr>
        <w:t>E. 2.3</w:t>
      </w:r>
    </w:p>
    <w:p>
      <w:r>
        <w:t>A.M.________ a été entendu par la juge de paix lors de l’audience du 22 mai 2024, puis une nouvelle fois à l’audience de la justice de paix du 2 octobre 2024, de sorte que son droit d’être entendu a été respecté. L’ordonnance entreprise étant formellement correcte, elle peut être examinée sur le fond.</w:t>
      </w:r>
    </w:p>
    <w:p>
      <w:r>
        <w:rPr>
          <w:b/>
        </w:rPr>
        <w:t>E. 3.1</w:t>
      </w:r>
    </w:p>
    <w:p>
      <w:r>
        <w:t>Le recourant s’oppose à l’institution d’une curatelle en sa faveur au motif qu’une telle mesure serait infondée, faute de besoin de protection. Il s’oppose à la vente de sa maison, affirmant que son épouse est malade et souhaite préparer la séparation afin d’obtenir le logement conjugal. Le recourant fait encore valoir que le signalement contient des informations erronées.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op. cit. ,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 398). Par « troubles psychiques » on entend toutes les pathologies mentales reconnues en psychiatrie, soit les psychoses et les psychopathies ayant des causes physiques ou non, ainsi que les démences (Meier, Droit de la protection de l’adulte, op. cit. , n. 722, p. 399 ; Guide pratique COPMA 2012, op. cit. ,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 n. 14 ad art. 390 CC, p. 2419).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respectivement de soucis de représentation juridique (TF 5A_551/2021 du 7 décembre 2021 consid. 4.1.1 ; Meier, Droit de la protection de l’adulte, op. cit. , n. 729, p. 403 ; Guide pratique COPMA 2012, op. cit. , n. 5.10, p. 138).</w:t>
      </w:r>
    </w:p>
    <w:p>
      <w:r>
        <w:rPr>
          <w:b/>
        </w:rPr>
        <w:t>E. 3.2.2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5A_844/2017 du 15 mai 2018 consid. 3.1 et les références citées). L’aide proposée peut s’avérer contre-productive ou inappropriée, notamment lorsque le prétendu soutien n’est pas dans l’intérêt de la personne concernée (Biderbost, BSK ZGB I, op. cit. ,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 n. 2 ad art. 389 CC, p. 2408).</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 nn. 15 à 26 ad art. 394 CC, pp. 439 ss, et n. 11 ad art. 395 CC, p. 452 ; Meier, Droit de la protection de l’adulte, op. cit. ,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w:t>
      </w:r>
    </w:p>
    <w:p>
      <w:r>
        <w:rPr>
          <w:b/>
        </w:rPr>
        <w:t>E. 3.2.4</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 cf. art. 261 al. 1 CPC ; Guide pratique COPMA 2012, op. cit. ,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(CCUR 4 mars 2021/59 consid. 3.1.4 ; JdT 2005 III 51).</w:t>
      </w:r>
    </w:p>
    <w:p>
      <w:r>
        <w:rPr>
          <w:b/>
        </w:rPr>
        <w:t>E. 3.3</w:t>
      </w:r>
    </w:p>
    <w:p>
      <w:r>
        <w:t>En l’espèce, A.M.________, âgé de 85 ans et de langue maternelle allemande, est marié depuis un peu plus de soixante ans à B.M.________, avec laquelle il réside dans une maison, dont ils sont propriétaires. L’intéressé est titulaire d’une entreprise individuelle inscrite au registre du commerce depuis 2007. A la fin de l’année 2021, il a fait une chute sur la tête ayant occasionné un traumatisme crânien, à la suite duquel il a été hospitalisé, puis a effectué un séjour de réadaptation en clinique. Le 29 avril 2024, B.M.________ a signalé la situation de son époux à la justice de paix, exposant en particulier que l’état de santé de celui-ci s’était péjoré depuis sa chute et qu’il refusait de vendre sa société, pour laquelle elle devait, malgré son âge et ses propres difficultés de santé, continuer à travailler afin de subvenir aux besoins du ménage, les revenus du couple se limitant pour le surplus à la rente AVS maximale, le deuxième pilier ayant été investi dans dite société. Il ressort du dossier que l’épouse s’est toujours chargée de la gestion des affaires du couple, mais également des démarches administratives et d’exploitation de la société du recourant, particulièrement celles impliquant l’usage de l’informatique, ce que celui-ci a finalement reconnu au cours de l’enquête. L’intéressé s’était pour sa part occupé de la recherche de clients, se limitant à des contacts oraux ou des rencontres physiques avec ceux-ci. La société du recourant a cessé ses activités à la fin du mois d’août 2024, celui-ci ayant finalement accepté la radiation de celle-ci, les démarches y relatives ayant été effectuées par l’épouse. Cette dernière, qui envisage sérieusement une séparation conjugale, a relevé lors de l’audience du 2 octobre 2024 que le processus de liquidation de la société n’était pas encore terminé, de sorte que l’intervention d’un curateur demeurait d’actualité, ce d’autant qu’elle entendait faire éventuellement valoir ses propres prétentions financières dans le cadre de cette liquidation. Le recourant conteste l’existence d’un besoin de protection. S’agissant de la cause de la curatelle, s’il apparaît certes que le médecin traitant de la personne concernée soutient son patient, il sied de relever qu’il faut traiter cet avis de manière nuancée, en raison du lien thérapeutique qui lie ce médecin au recourant. De plus, si le médecin estimait que l’intéressé était en mesure de gérer son entreprise, il précisait également qu’il n’avait pas connaissance des détails de la gestion de celle-ci. Il ignorait ainsi vraisemblablement que la gestion administrative et financière de la société avait été majoritairement assumée par l’épouse du recourant. Pour le surplus, l’avis des intervenants de l’EMP ne permet pas de se déterminer distinctement sur l’état de santé et singulièrement le discernement de la personne concernée. Cependant, on peut admettre – au stade de la vraisemblance des mesures provisionnelles – l’existence d’un état objectif de faiblesse qui affecte la condition de la personne concernée, compte tenu notamment de ses difficultés objectives à s’exprimer en français, de ses problèmes de santé ensuite d’une chute, ainsi que du fait que la gestion administrative des affaires du couple M.________ – tant professionnelles que privées – a toujours été assumée par l’épouse, laquelle se trouve désormais dans un patent conflit d’intérêts avec le recourant. Les difficultés de celui-ci à gérer les aspects administratifs, du moins pour ce qui concerne l’entreprise individuelle – que ce soit en raison d’une sénilité ou d’une absence de connaissances – est manifeste. Il existe donc une cause de curatelle. Il convient ensuite d’examiner l’existence d’une condition de curatelle (besoin de protection particulier). En l’état, à la lecture de ses écritures peu claires et de son audition confuse tant par la justice de paix que par l’équipe de l’EMP, on distingue une incapacité de l’intéressé d’assurer par lui-même la sauvegarde de ses intérêts, à tout le moins concernant la liquidation de son entreprise individuelle, ou de désigner un représentant pour gérer cet aspect. Or, assurer le bon déroulement de cette liquidation s’avère essentiel pour la suite de la vie de la personne concernée, qui ne travaille plus et doit assurer sa retraite, son deuxième pilier ayant été investi dans la société, s’agissant également d’éviter de mettre en péril la maison du couple. En cas de perte ou de dilapidation de ces valeurs, les difficultés qu’auraient le recourant seraient difficilement réparables et toucheraient ses intérêts tant d’ordre patrimonial que personnel. S’agissant du principe de subsidiarité de la mesure, il faut constater qu’en raison d’un risque de conflit d’intérêts manifeste dans un contexte de probable séparation avec l’épouse, mais également des propres prétentions de celle-ci dans la liquidation de la société, la représentation par le conjoint est désormais exclue dans ce cadre à tout le moins. La désignation d’un représentant externe est donc nécessaire, ce d’autant que la liquidation de la société impliquera encore un certain nombre de démarches, possiblement judiciaires. Dans cette mesure, la nomination d’une curatrice avocate paraît pleinement justifiée. La curatelle étant provisoire, pour la durée de l’enquête, en particulier jusqu’à la reddition de l’expertise psychiatrique, et sa portée étant de surcroît limitée à la représentation du recourant pour ce qui concerne la radiation et la liquidation de son entreprise individuelle, la mesure litigieuse paraît proportionnée, afin d’éviter le risque que dite entreprise soit liquidée à vil prix. Pour le surplus, le recourant n’émet aucune critique à l’encontre de la personne désignée comme curatrice provisoire, laquelle paraît présenter les qualifications requises (art. 400 CC). Au vu de ce qui précède, force est de constater qu’au stade de la vraisemblance, tant la cause que la condition d’une curatelle paraissent réunies. Le grief est ainsi manifestement infondé et la mesure provisoire ordonnée doit dès lors être confirmée. Au demeurant, on rappellera que la situation sera quoi qu’il en soit réexaminée ultérieurement, à la lumière des conclusions de l’expertise à intervenir prochainement.</w:t>
      </w:r>
    </w:p>
    <w:p>
      <w:r>
        <w:rPr>
          <w:b/>
        </w:rPr>
        <w:t>E. 4</w:t>
      </w:r>
    </w:p>
    <w:p>
      <w:r>
        <w:t>En conclusion, le recours doit être rejeté et l’ordonnance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 Du L'arrêt qui précède, dont la rédaction a été approuvée à huis clos, est notifié à : ‑ M. A.M.________, ‑ Me V.________, curatrice provisoire, - Me Marc Plumez (pour B.M.________), et communiqué à : - Mme la Juge de paix du district de la Riviera – Pays-d’Enhaut, - Dr [...], expert,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